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olors1.xml" ContentType="application/vnd.ms-office.chartcolorstyle+xml"/>
  <Override PartName="/word/charts/style1.xml" ContentType="application/vnd.ms-office.chartstyle+xml"/>
  <Override PartName="/word/document.xml" ContentType="application/vnd.openxmlformats-officedocument.wordprocessingml.document.main+xml"/>
  <Override PartName="/word/drawings/drawing1.xml" ContentType="application/vnd.openxmlformats-officedocument.drawingml.chartshapes+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2"/>
        <w:tabs>
          <w:tab w:val="right" w:pos="8280"/>
          <w:tab w:val="right" w:pos="9781"/>
        </w:tabs>
        <w:snapToGrid w:val="0"/>
        <w:spacing w:after="0" w:line="240" w:lineRule="auto"/>
        <w:ind w:right="-57"/>
        <w:rPr>
          <w:rFonts w:hint="default" w:cs="Arial"/>
          <w:bCs/>
          <w:sz w:val="22"/>
          <w:szCs w:val="22"/>
          <w:lang w:val="en-US" w:eastAsia="zh-CN"/>
        </w:rPr>
      </w:pPr>
      <w:bookmarkStart w:id="0" w:name="_Hlk533328020"/>
      <w:bookmarkStart w:id="1" w:name="OLE_LINK1"/>
      <w:r>
        <w:rPr>
          <w:rFonts w:cs="Arial"/>
          <w:bCs/>
          <w:sz w:val="22"/>
          <w:szCs w:val="22"/>
          <w:lang w:eastAsia="zh-CN"/>
        </w:rPr>
        <w:t xml:space="preserve">3GPP TSG RAN WG1 </w:t>
      </w:r>
      <w:r>
        <w:rPr>
          <w:rFonts w:hint="eastAsia" w:cs="Arial"/>
          <w:bCs/>
          <w:sz w:val="22"/>
          <w:szCs w:val="22"/>
          <w:lang w:val="en-US" w:eastAsia="zh-CN"/>
        </w:rPr>
        <w:t>#96</w:t>
      </w:r>
      <w:r>
        <w:rPr>
          <w:rFonts w:cs="Arial"/>
          <w:bCs/>
          <w:sz w:val="22"/>
          <w:szCs w:val="22"/>
          <w:lang w:eastAsia="zh-CN"/>
        </w:rPr>
        <w:tab/>
      </w:r>
      <w:r>
        <w:rPr>
          <w:rFonts w:hint="eastAsia" w:cs="Arial"/>
          <w:bCs/>
          <w:sz w:val="22"/>
          <w:szCs w:val="22"/>
          <w:lang w:eastAsia="zh-CN"/>
        </w:rPr>
        <w:t xml:space="preserve">                                                         </w:t>
      </w:r>
      <w:r>
        <w:rPr>
          <w:rFonts w:hint="eastAsia" w:cs="Arial"/>
          <w:bCs/>
          <w:sz w:val="22"/>
          <w:szCs w:val="22"/>
          <w:lang w:val="en-US" w:eastAsia="zh-CN"/>
        </w:rPr>
        <w:t xml:space="preserve">                               </w:t>
      </w:r>
      <w:r>
        <w:rPr>
          <w:rFonts w:hint="eastAsia" w:cs="Arial"/>
          <w:bCs/>
          <w:sz w:val="22"/>
          <w:szCs w:val="22"/>
          <w:lang w:eastAsia="zh-CN"/>
        </w:rPr>
        <w:t>R1-190</w:t>
      </w:r>
      <w:r>
        <w:rPr>
          <w:rFonts w:hint="eastAsia" w:cs="Arial"/>
          <w:bCs/>
          <w:sz w:val="22"/>
          <w:szCs w:val="22"/>
          <w:lang w:val="en-US" w:eastAsia="zh-CN"/>
        </w:rPr>
        <w:t>1773</w:t>
      </w:r>
    </w:p>
    <w:p>
      <w:pPr>
        <w:pStyle w:val="22"/>
        <w:tabs>
          <w:tab w:val="right" w:pos="8280"/>
          <w:tab w:val="right" w:pos="9781"/>
        </w:tabs>
        <w:snapToGrid w:val="0"/>
        <w:spacing w:after="180" w:afterLines="50" w:line="240" w:lineRule="auto"/>
        <w:rPr>
          <w:sz w:val="20"/>
        </w:rPr>
      </w:pPr>
      <w:r>
        <w:rPr>
          <w:rFonts w:eastAsia="MS Mincho" w:cs="Arial"/>
          <w:bCs/>
          <w:sz w:val="22"/>
          <w:szCs w:val="22"/>
          <w:lang w:eastAsia="ja-JP"/>
        </w:rPr>
        <w:t>Athens, Greece, 25</w:t>
      </w:r>
      <w:r>
        <w:rPr>
          <w:rFonts w:eastAsia="MS Mincho" w:cs="Arial"/>
          <w:bCs/>
          <w:sz w:val="22"/>
          <w:szCs w:val="22"/>
          <w:vertAlign w:val="superscript"/>
          <w:lang w:eastAsia="ja-JP"/>
        </w:rPr>
        <w:t>th</w:t>
      </w:r>
      <w:r>
        <w:rPr>
          <w:rFonts w:eastAsia="MS Mincho" w:cs="Arial"/>
          <w:bCs/>
          <w:sz w:val="22"/>
          <w:szCs w:val="22"/>
          <w:lang w:eastAsia="ja-JP"/>
        </w:rPr>
        <w:t xml:space="preserve"> February – 1</w:t>
      </w:r>
      <w:r>
        <w:rPr>
          <w:rFonts w:eastAsia="MS Mincho" w:cs="Arial"/>
          <w:bCs/>
          <w:sz w:val="22"/>
          <w:szCs w:val="22"/>
          <w:vertAlign w:val="superscript"/>
          <w:lang w:eastAsia="ja-JP"/>
        </w:rPr>
        <w:t>st</w:t>
      </w:r>
      <w:r>
        <w:rPr>
          <w:rFonts w:eastAsia="MS Mincho" w:cs="Arial"/>
          <w:bCs/>
          <w:sz w:val="22"/>
          <w:szCs w:val="22"/>
          <w:lang w:eastAsia="ja-JP"/>
        </w:rPr>
        <w:t xml:space="preserve"> March, 2019</w:t>
      </w:r>
    </w:p>
    <w:bookmarkEnd w:id="0"/>
    <w:p>
      <w:pPr>
        <w:pStyle w:val="22"/>
        <w:snapToGrid w:val="0"/>
        <w:spacing w:after="0" w:line="240" w:lineRule="auto"/>
        <w:rPr>
          <w:rFonts w:eastAsia="宋体"/>
          <w:sz w:val="20"/>
          <w:lang w:eastAsia="zh-CN"/>
        </w:rPr>
      </w:pPr>
      <w:r>
        <w:rPr>
          <w:sz w:val="20"/>
        </w:rPr>
        <w:t>Source:</w:t>
      </w:r>
      <w:r>
        <w:rPr>
          <w:rFonts w:hint="eastAsia" w:eastAsiaTheme="minorEastAsia"/>
          <w:sz w:val="20"/>
          <w:lang w:eastAsia="zh-CN"/>
        </w:rPr>
        <w:tab/>
      </w:r>
      <w:r>
        <w:rPr>
          <w:sz w:val="20"/>
        </w:rPr>
        <w:t>ZTE</w:t>
      </w:r>
    </w:p>
    <w:p>
      <w:pPr>
        <w:pStyle w:val="22"/>
        <w:snapToGrid w:val="0"/>
        <w:spacing w:after="0" w:line="240" w:lineRule="auto"/>
        <w:ind w:left="1405" w:hanging="1401" w:hangingChars="700"/>
        <w:rPr>
          <w:rFonts w:eastAsia="宋体"/>
          <w:sz w:val="20"/>
          <w:lang w:eastAsia="zh-CN"/>
        </w:rPr>
      </w:pPr>
      <w:r>
        <w:rPr>
          <w:sz w:val="20"/>
        </w:rPr>
        <w:t>Title:</w:t>
      </w:r>
      <w:r>
        <w:rPr>
          <w:rFonts w:hint="eastAsia" w:eastAsiaTheme="minorEastAsia"/>
          <w:sz w:val="20"/>
          <w:lang w:eastAsia="zh-CN"/>
        </w:rPr>
        <w:t xml:space="preserve">                 </w:t>
      </w:r>
      <w:r>
        <w:rPr>
          <w:rFonts w:hint="eastAsia" w:eastAsia="宋体"/>
          <w:sz w:val="20"/>
          <w:lang w:eastAsia="zh-CN"/>
        </w:rPr>
        <w:t xml:space="preserve">Enhancements for UL grant-free transmissions </w:t>
      </w:r>
    </w:p>
    <w:p>
      <w:pPr>
        <w:pStyle w:val="22"/>
        <w:snapToGrid w:val="0"/>
        <w:spacing w:after="0" w:line="240" w:lineRule="auto"/>
        <w:rPr>
          <w:rFonts w:eastAsia="宋体"/>
          <w:sz w:val="20"/>
          <w:lang w:eastAsia="zh-CN"/>
        </w:rPr>
      </w:pPr>
      <w:r>
        <w:rPr>
          <w:sz w:val="20"/>
        </w:rPr>
        <w:t>Agenda item:</w:t>
      </w:r>
      <w:r>
        <w:rPr>
          <w:rFonts w:hint="eastAsia" w:eastAsiaTheme="minorEastAsia"/>
          <w:sz w:val="20"/>
          <w:lang w:eastAsia="zh-CN"/>
        </w:rPr>
        <w:tab/>
      </w:r>
      <w:r>
        <w:rPr>
          <w:rFonts w:hint="eastAsia" w:eastAsia="宋体"/>
          <w:sz w:val="20"/>
          <w:lang w:eastAsia="zh-CN"/>
        </w:rPr>
        <w:t>7.2.6.3</w:t>
      </w:r>
    </w:p>
    <w:p>
      <w:pPr>
        <w:pStyle w:val="22"/>
        <w:snapToGrid w:val="0"/>
        <w:spacing w:after="180" w:afterLines="50" w:line="240" w:lineRule="auto"/>
        <w:rPr>
          <w:sz w:val="20"/>
        </w:rPr>
      </w:pPr>
      <w:r>
        <w:rPr>
          <w:sz w:val="20"/>
        </w:rPr>
        <w:t>Document for:  Discussion and Decision</w:t>
      </w:r>
    </w:p>
    <w:bookmarkEnd w:id="1"/>
    <w:p>
      <w:pPr>
        <w:pStyle w:val="2"/>
        <w:numPr>
          <w:ilvl w:val="0"/>
          <w:numId w:val="3"/>
        </w:numPr>
        <w:pBdr>
          <w:top w:val="single" w:color="auto" w:sz="12" w:space="2"/>
        </w:pBdr>
        <w:snapToGrid w:val="0"/>
        <w:spacing w:beforeLines="0" w:after="180" w:afterLines="50"/>
      </w:pPr>
      <w:r>
        <w:t>I</w:t>
      </w:r>
      <w:r>
        <w:rPr>
          <w:rFonts w:hint="eastAsia"/>
        </w:rPr>
        <w:t>ntroduction</w:t>
      </w:r>
    </w:p>
    <w:p>
      <w:pPr>
        <w:snapToGrid w:val="0"/>
        <w:spacing w:after="0" w:line="240" w:lineRule="auto"/>
        <w:rPr>
          <w:rFonts w:eastAsia="宋体"/>
          <w:lang w:val="en-US" w:eastAsia="zh-CN"/>
        </w:rPr>
      </w:pPr>
      <w:r>
        <w:rPr>
          <w:rFonts w:hint="eastAsia" w:eastAsia="宋体"/>
          <w:lang w:val="en-US" w:eastAsia="zh-CN"/>
        </w:rPr>
        <w:t xml:space="preserve">In the </w:t>
      </w:r>
      <w:r>
        <w:rPr>
          <w:rFonts w:eastAsia="宋体"/>
          <w:lang w:val="en-US" w:eastAsia="zh-CN"/>
        </w:rPr>
        <w:t>previous</w:t>
      </w:r>
      <w:r>
        <w:rPr>
          <w:rFonts w:hint="eastAsia" w:eastAsia="宋体"/>
          <w:lang w:val="en-US" w:eastAsia="zh-CN"/>
        </w:rPr>
        <w:t xml:space="preserve"> </w:t>
      </w:r>
      <w:r>
        <w:rPr>
          <w:rFonts w:eastAsia="宋体"/>
          <w:lang w:val="en-US" w:eastAsia="zh-CN"/>
        </w:rPr>
        <w:t xml:space="preserve">RAN1 </w:t>
      </w:r>
      <w:r>
        <w:rPr>
          <w:rFonts w:hint="eastAsia" w:eastAsia="宋体"/>
          <w:lang w:val="en-US" w:eastAsia="zh-CN"/>
        </w:rPr>
        <w:t>meeting</w:t>
      </w:r>
      <w:r>
        <w:rPr>
          <w:rFonts w:eastAsia="宋体"/>
          <w:lang w:val="en-US" w:eastAsia="zh-CN"/>
        </w:rPr>
        <w:t>s</w:t>
      </w:r>
      <w:r>
        <w:rPr>
          <w:rFonts w:hint="eastAsia" w:eastAsia="宋体"/>
          <w:lang w:val="en-US" w:eastAsia="zh-CN"/>
        </w:rPr>
        <w:t>,</w:t>
      </w:r>
      <w:r>
        <w:rPr>
          <w:rFonts w:eastAsia="宋体"/>
          <w:lang w:val="en-US" w:eastAsia="zh-CN"/>
        </w:rPr>
        <w:t xml:space="preserve"> </w:t>
      </w:r>
      <w:r>
        <w:rPr>
          <w:rFonts w:hint="eastAsia" w:eastAsia="宋体"/>
          <w:lang w:val="en-US" w:eastAsia="zh-CN"/>
        </w:rPr>
        <w:t>the following agreements and observations on enhanced UL grant-free transmissions were reached [1]</w:t>
      </w:r>
      <w:r>
        <w:rPr>
          <w:rFonts w:eastAsia="宋体"/>
          <w:lang w:val="en-US" w:eastAsia="zh-CN"/>
        </w:rPr>
        <w:t xml:space="preserve"> [2]</w:t>
      </w:r>
      <w:r>
        <w:rPr>
          <w:rFonts w:hint="eastAsia" w:eastAsia="宋体"/>
          <w:lang w:val="en-US" w:eastAsia="zh-CN"/>
        </w:rPr>
        <w:t>[3].</w:t>
      </w:r>
    </w:p>
    <w:p>
      <w:pPr>
        <w:snapToGrid w:val="0"/>
        <w:spacing w:before="180" w:beforeLines="50" w:after="0" w:line="240" w:lineRule="auto"/>
        <w:rPr>
          <w:rFonts w:eastAsia="宋体"/>
          <w:szCs w:val="20"/>
          <w:highlight w:val="green"/>
          <w:lang w:val="en-US" w:eastAsia="zh-CN"/>
        </w:rPr>
      </w:pPr>
      <w:r>
        <w:rPr>
          <w:rFonts w:hint="default" w:ascii="Times New Roman" w:hAnsi="Times New Roman" w:eastAsia="宋体"/>
          <w:sz w:val="20"/>
          <w:szCs w:val="20"/>
          <w:highlight w:val="green"/>
          <w:lang w:val="en-US" w:eastAsia="zh-CN"/>
        </w:rPr>
        <w:t xml:space="preserve">RAN1 #94bis </w:t>
      </w:r>
      <w:r>
        <w:rPr>
          <w:rFonts w:hint="default" w:eastAsia="宋体"/>
          <w:sz w:val="20"/>
          <w:szCs w:val="20"/>
          <w:highlight w:val="green"/>
          <w:lang w:val="en-US" w:eastAsia="zh-CN"/>
        </w:rPr>
        <w:t>Ag</w:t>
      </w:r>
      <w:r>
        <w:rPr>
          <w:rFonts w:hint="default" w:eastAsia="宋体"/>
          <w:szCs w:val="20"/>
          <w:highlight w:val="green"/>
          <w:lang w:val="en-US" w:eastAsia="zh-CN"/>
        </w:rPr>
        <w:t>reement</w:t>
      </w:r>
      <w:r>
        <w:rPr>
          <w:rFonts w:eastAsia="宋体"/>
          <w:szCs w:val="20"/>
          <w:highlight w:val="green"/>
          <w:lang w:val="en-US" w:eastAsia="zh-CN"/>
        </w:rPr>
        <w:t>s</w:t>
      </w:r>
      <w:r>
        <w:rPr>
          <w:rFonts w:hint="default" w:eastAsia="宋体"/>
          <w:szCs w:val="20"/>
          <w:highlight w:val="green"/>
          <w:lang w:val="en-US" w:eastAsia="zh-CN"/>
        </w:rPr>
        <w:t xml:space="preserve"> </w:t>
      </w:r>
      <w:r>
        <w:rPr>
          <w:rFonts w:eastAsia="宋体"/>
          <w:szCs w:val="20"/>
          <w:highlight w:val="green"/>
          <w:lang w:val="en-US" w:eastAsia="zh-CN"/>
        </w:rPr>
        <w:t>:</w:t>
      </w:r>
    </w:p>
    <w:p>
      <w:pPr>
        <w:pStyle w:val="17"/>
        <w:numPr>
          <w:ilvl w:val="0"/>
          <w:numId w:val="4"/>
        </w:numPr>
        <w:snapToGrid w:val="0"/>
        <w:spacing w:after="0" w:line="240" w:lineRule="auto"/>
        <w:rPr>
          <w:rFonts w:eastAsia="Yu Mincho"/>
          <w:lang w:eastAsia="ja-JP"/>
        </w:rPr>
      </w:pPr>
      <w:r>
        <w:rPr>
          <w:rFonts w:hint="eastAsia" w:eastAsia="宋体"/>
          <w:lang w:val="en-US" w:eastAsia="zh-CN"/>
        </w:rPr>
        <w:t>To s</w:t>
      </w:r>
      <w:r>
        <w:rPr>
          <w:rFonts w:eastAsia="Yu Mincho"/>
          <w:lang w:eastAsia="ja-JP"/>
        </w:rPr>
        <w:t xml:space="preserve">tudy further </w:t>
      </w:r>
      <w:r>
        <w:rPr>
          <w:rFonts w:hint="eastAsia" w:eastAsia="宋体"/>
          <w:lang w:val="en-US" w:eastAsia="zh-CN"/>
        </w:rPr>
        <w:t>from at least the following</w:t>
      </w:r>
      <w:r>
        <w:rPr>
          <w:rFonts w:eastAsia="Yu Mincho"/>
          <w:lang w:eastAsia="ja-JP"/>
        </w:rPr>
        <w:t>.</w:t>
      </w:r>
    </w:p>
    <w:p>
      <w:pPr>
        <w:pStyle w:val="17"/>
        <w:numPr>
          <w:ilvl w:val="1"/>
          <w:numId w:val="4"/>
        </w:numPr>
        <w:snapToGrid w:val="0"/>
        <w:spacing w:after="0" w:line="240" w:lineRule="auto"/>
        <w:rPr>
          <w:rFonts w:eastAsia="Yu Mincho"/>
          <w:lang w:eastAsia="ja-JP"/>
        </w:rPr>
      </w:pPr>
      <w:r>
        <w:rPr>
          <w:rFonts w:hint="eastAsia" w:eastAsia="宋体"/>
          <w:lang w:val="en-US" w:eastAsia="zh-CN"/>
        </w:rPr>
        <w:t xml:space="preserve">Option 1: </w:t>
      </w:r>
      <w:r>
        <w:rPr>
          <w:lang w:val="en-US"/>
        </w:rPr>
        <w:t>multiple active configured grant configurations for a BWP of a serving cel</w:t>
      </w:r>
      <w:r>
        <w:rPr>
          <w:rFonts w:hint="eastAsia" w:eastAsia="宋体"/>
          <w:lang w:val="en-US" w:eastAsia="zh-CN"/>
        </w:rPr>
        <w:t>l</w:t>
      </w:r>
    </w:p>
    <w:p>
      <w:pPr>
        <w:pStyle w:val="17"/>
        <w:numPr>
          <w:ilvl w:val="1"/>
          <w:numId w:val="4"/>
        </w:numPr>
        <w:snapToGrid w:val="0"/>
        <w:spacing w:after="0" w:line="240" w:lineRule="auto"/>
        <w:rPr>
          <w:rFonts w:eastAsia="Yu Mincho"/>
          <w:lang w:eastAsia="ja-JP"/>
        </w:rPr>
      </w:pPr>
      <w:r>
        <w:rPr>
          <w:rFonts w:hint="eastAsia" w:eastAsia="宋体"/>
          <w:lang w:val="en-US" w:eastAsia="zh-CN"/>
        </w:rPr>
        <w:t>Option 2:</w:t>
      </w:r>
      <w:r>
        <w:rPr>
          <w:lang w:val="en-US"/>
        </w:rPr>
        <w:t xml:space="preserve"> repetition(s) across the boundary of a period P</w:t>
      </w:r>
    </w:p>
    <w:p>
      <w:pPr>
        <w:pStyle w:val="17"/>
        <w:numPr>
          <w:ilvl w:val="1"/>
          <w:numId w:val="4"/>
        </w:numPr>
        <w:snapToGrid w:val="0"/>
        <w:spacing w:after="0" w:line="240" w:lineRule="auto"/>
        <w:rPr>
          <w:rFonts w:eastAsia="Yu Mincho"/>
          <w:lang w:eastAsia="ja-JP"/>
        </w:rPr>
      </w:pPr>
      <w:r>
        <w:rPr>
          <w:rFonts w:hint="eastAsia" w:eastAsia="宋体"/>
          <w:lang w:val="en-US" w:eastAsia="zh-CN"/>
        </w:rPr>
        <w:t xml:space="preserve">Option 3: </w:t>
      </w:r>
      <w:r>
        <w:rPr>
          <w:lang w:val="en-US"/>
        </w:rPr>
        <w:t xml:space="preserve">one transmission cross boundary of a period P </w:t>
      </w:r>
    </w:p>
    <w:p>
      <w:pPr>
        <w:pStyle w:val="17"/>
        <w:numPr>
          <w:ilvl w:val="1"/>
          <w:numId w:val="4"/>
        </w:numPr>
        <w:snapToGrid w:val="0"/>
        <w:spacing w:after="0" w:line="240" w:lineRule="auto"/>
        <w:rPr>
          <w:rFonts w:eastAsia="Yu Mincho"/>
          <w:lang w:eastAsia="ja-JP"/>
        </w:rPr>
      </w:pPr>
      <w:r>
        <w:rPr>
          <w:rFonts w:hint="eastAsia" w:eastAsia="宋体"/>
          <w:lang w:val="en-US" w:eastAsia="zh-CN"/>
        </w:rPr>
        <w:t xml:space="preserve">FFS </w:t>
      </w:r>
      <w:r>
        <w:rPr>
          <w:lang w:val="en-US"/>
        </w:rPr>
        <w:t>the UE behavior when repetitions are collided with the resource which are not available for UL transmissions</w:t>
      </w:r>
    </w:p>
    <w:p>
      <w:pPr>
        <w:pStyle w:val="17"/>
        <w:numPr>
          <w:ilvl w:val="1"/>
          <w:numId w:val="4"/>
        </w:numPr>
        <w:snapToGrid w:val="0"/>
        <w:spacing w:after="0" w:line="240" w:lineRule="auto"/>
        <w:rPr>
          <w:rFonts w:eastAsia="Yu Mincho"/>
          <w:lang w:eastAsia="ja-JP"/>
        </w:rPr>
      </w:pPr>
      <w:r>
        <w:rPr>
          <w:rFonts w:hint="eastAsia" w:eastAsia="宋体"/>
          <w:lang w:val="en-US" w:eastAsia="zh-CN"/>
        </w:rPr>
        <w:t xml:space="preserve">Note: </w:t>
      </w:r>
      <w:r>
        <w:rPr>
          <w:lang w:val="en-US"/>
        </w:rPr>
        <w:t>Switch grant free to grant based retransmission which is available in Rel.1</w:t>
      </w:r>
      <w:r>
        <w:rPr>
          <w:rFonts w:hint="eastAsia" w:eastAsia="宋体"/>
          <w:lang w:val="en-US" w:eastAsia="zh-CN"/>
        </w:rPr>
        <w:t>5</w:t>
      </w:r>
    </w:p>
    <w:p>
      <w:pPr>
        <w:snapToGrid w:val="0"/>
        <w:spacing w:before="180" w:beforeLines="50" w:after="0" w:line="240" w:lineRule="auto"/>
        <w:rPr>
          <w:rFonts w:eastAsia="宋体"/>
          <w:szCs w:val="21"/>
          <w:highlight w:val="green"/>
          <w:lang w:val="en-US" w:eastAsia="zh-CN"/>
        </w:rPr>
      </w:pPr>
      <w:r>
        <w:rPr>
          <w:rFonts w:hint="default" w:ascii="Times New Roman" w:hAnsi="Times New Roman" w:eastAsia="宋体"/>
          <w:sz w:val="20"/>
          <w:szCs w:val="20"/>
          <w:highlight w:val="green"/>
          <w:lang w:val="en-US" w:eastAsia="zh-CN"/>
        </w:rPr>
        <w:t xml:space="preserve">RAN1 #95 </w:t>
      </w:r>
      <w:r>
        <w:rPr>
          <w:rFonts w:hint="default" w:eastAsia="宋体"/>
          <w:sz w:val="20"/>
          <w:szCs w:val="20"/>
          <w:highlight w:val="green"/>
          <w:lang w:val="en-US" w:eastAsia="zh-CN"/>
        </w:rPr>
        <w:t>Ag</w:t>
      </w:r>
      <w:r>
        <w:rPr>
          <w:rFonts w:hint="default" w:eastAsia="宋体"/>
          <w:szCs w:val="21"/>
          <w:highlight w:val="green"/>
          <w:lang w:val="en-US" w:eastAsia="zh-CN"/>
        </w:rPr>
        <w:t>reements:</w:t>
      </w:r>
    </w:p>
    <w:p>
      <w:pPr>
        <w:pStyle w:val="17"/>
        <w:numPr>
          <w:ilvl w:val="0"/>
          <w:numId w:val="4"/>
        </w:numPr>
        <w:snapToGrid w:val="0"/>
        <w:spacing w:after="0" w:line="240" w:lineRule="auto"/>
        <w:rPr>
          <w:rFonts w:eastAsia="宋体"/>
          <w:szCs w:val="21"/>
          <w:lang w:val="en-US" w:eastAsia="zh-CN"/>
        </w:rPr>
      </w:pPr>
      <w:r>
        <w:rPr>
          <w:rFonts w:hint="eastAsia" w:eastAsia="宋体"/>
          <w:szCs w:val="21"/>
          <w:lang w:val="en-US" w:eastAsia="zh-CN"/>
        </w:rPr>
        <w:t xml:space="preserve">Multiple active configured grant configurations for a given BWP of a serving cell should be supported at least for different services/traffic types and/or for enhancing reliability and reducing latency </w:t>
      </w:r>
    </w:p>
    <w:p>
      <w:pPr>
        <w:pStyle w:val="17"/>
        <w:numPr>
          <w:ilvl w:val="1"/>
          <w:numId w:val="4"/>
        </w:numPr>
        <w:snapToGrid w:val="0"/>
        <w:spacing w:after="0" w:line="240" w:lineRule="auto"/>
        <w:rPr>
          <w:rFonts w:eastAsia="宋体"/>
          <w:lang w:val="en-US" w:eastAsia="zh-CN"/>
        </w:rPr>
      </w:pPr>
      <w:r>
        <w:rPr>
          <w:rFonts w:hint="eastAsia" w:eastAsia="宋体"/>
          <w:lang w:val="en-US" w:eastAsia="zh-CN"/>
        </w:rPr>
        <w:t>FFS details</w:t>
      </w:r>
    </w:p>
    <w:p>
      <w:pPr>
        <w:pStyle w:val="17"/>
        <w:numPr>
          <w:ilvl w:val="1"/>
          <w:numId w:val="4"/>
        </w:numPr>
        <w:snapToGrid w:val="0"/>
        <w:spacing w:after="0" w:line="240" w:lineRule="auto"/>
        <w:rPr>
          <w:rFonts w:eastAsia="宋体"/>
          <w:lang w:val="en-US" w:eastAsia="zh-CN"/>
        </w:rPr>
      </w:pPr>
      <w:r>
        <w:rPr>
          <w:rFonts w:eastAsia="宋体"/>
          <w:lang w:val="en-US" w:eastAsia="zh-CN"/>
        </w:rPr>
        <w:t>Note: it is understood that the above may be related to RAN2-led work on intra-UE multiplexing</w:t>
      </w:r>
    </w:p>
    <w:p>
      <w:pPr>
        <w:pStyle w:val="17"/>
        <w:snapToGrid w:val="0"/>
        <w:spacing w:after="0" w:line="240" w:lineRule="auto"/>
        <w:ind w:left="1440"/>
        <w:rPr>
          <w:rFonts w:eastAsia="宋体"/>
          <w:lang w:val="en-US" w:eastAsia="zh-CN"/>
        </w:rPr>
      </w:pPr>
    </w:p>
    <w:p>
      <w:pPr>
        <w:pStyle w:val="17"/>
        <w:numPr>
          <w:ilvl w:val="0"/>
          <w:numId w:val="4"/>
        </w:numPr>
        <w:snapToGrid w:val="0"/>
        <w:spacing w:after="0" w:line="240" w:lineRule="auto"/>
        <w:rPr>
          <w:rFonts w:eastAsia="宋体"/>
          <w:szCs w:val="21"/>
          <w:lang w:val="en-US" w:eastAsia="zh-CN"/>
        </w:rPr>
      </w:pPr>
      <w:r>
        <w:rPr>
          <w:rFonts w:hint="eastAsia" w:eastAsia="宋体"/>
          <w:szCs w:val="21"/>
          <w:lang w:val="en-US" w:eastAsia="zh-CN"/>
        </w:rPr>
        <w:t>One PUSCH transmission instance is not allowed to cross the slot boundary</w:t>
      </w:r>
      <w:r>
        <w:rPr>
          <w:rFonts w:eastAsia="宋体"/>
          <w:szCs w:val="21"/>
          <w:lang w:val="en-US" w:eastAsia="zh-CN"/>
        </w:rPr>
        <w:t xml:space="preserve"> </w:t>
      </w:r>
      <w:r>
        <w:rPr>
          <w:rFonts w:hint="eastAsia" w:eastAsia="宋体"/>
          <w:szCs w:val="21"/>
          <w:lang w:val="en-US" w:eastAsia="zh-CN"/>
        </w:rPr>
        <w:t xml:space="preserve">for </w:t>
      </w:r>
      <w:r>
        <w:rPr>
          <w:rFonts w:eastAsia="宋体"/>
          <w:szCs w:val="21"/>
          <w:lang w:val="en-US" w:eastAsia="zh-CN"/>
        </w:rPr>
        <w:t xml:space="preserve">UL configured grant </w:t>
      </w:r>
    </w:p>
    <w:p>
      <w:pPr>
        <w:pStyle w:val="17"/>
        <w:snapToGrid w:val="0"/>
        <w:spacing w:after="0" w:line="240" w:lineRule="auto"/>
        <w:ind w:left="720"/>
        <w:rPr>
          <w:rFonts w:eastAsia="宋体"/>
          <w:szCs w:val="21"/>
          <w:lang w:val="en-US" w:eastAsia="zh-CN"/>
        </w:rPr>
      </w:pPr>
    </w:p>
    <w:p>
      <w:pPr>
        <w:pStyle w:val="17"/>
        <w:numPr>
          <w:ilvl w:val="0"/>
          <w:numId w:val="4"/>
        </w:numPr>
        <w:snapToGrid w:val="0"/>
        <w:spacing w:after="0" w:line="240" w:lineRule="auto"/>
        <w:rPr>
          <w:rFonts w:eastAsia="宋体"/>
          <w:szCs w:val="21"/>
          <w:lang w:val="en-US" w:eastAsia="zh-CN"/>
        </w:rPr>
      </w:pPr>
      <w:r>
        <w:rPr>
          <w:rFonts w:eastAsia="宋体"/>
          <w:szCs w:val="21"/>
          <w:lang w:val="en-US" w:eastAsia="zh-CN"/>
        </w:rPr>
        <w:t>For whether to support explicit HARQ-ACK for configured grant for UL, at least study further gNB’s missed detection performance of the PUSCH under configured grant</w:t>
      </w:r>
    </w:p>
    <w:p>
      <w:pPr>
        <w:pStyle w:val="17"/>
        <w:numPr>
          <w:ilvl w:val="1"/>
          <w:numId w:val="4"/>
        </w:numPr>
        <w:snapToGrid w:val="0"/>
        <w:spacing w:after="0" w:line="240" w:lineRule="auto"/>
        <w:rPr>
          <w:rFonts w:eastAsia="宋体"/>
          <w:lang w:val="en-US" w:eastAsia="zh-CN"/>
        </w:rPr>
      </w:pPr>
      <w:r>
        <w:rPr>
          <w:rFonts w:eastAsia="宋体"/>
          <w:lang w:val="en-US" w:eastAsia="zh-CN"/>
        </w:rPr>
        <w:t xml:space="preserve">Study how to resolve gNB’s missed detection if it is an issue </w:t>
      </w:r>
    </w:p>
    <w:p>
      <w:pPr>
        <w:pStyle w:val="17"/>
        <w:numPr>
          <w:ilvl w:val="1"/>
          <w:numId w:val="4"/>
        </w:numPr>
        <w:snapToGrid w:val="0"/>
        <w:spacing w:after="0" w:line="240" w:lineRule="auto"/>
        <w:rPr>
          <w:rFonts w:eastAsia="宋体"/>
          <w:lang w:val="en-US" w:eastAsia="zh-CN"/>
        </w:rPr>
      </w:pPr>
      <w:r>
        <w:rPr>
          <w:rFonts w:eastAsia="宋体"/>
          <w:lang w:val="en-US" w:eastAsia="zh-CN"/>
        </w:rPr>
        <w:t>Study should take at least following into account:</w:t>
      </w:r>
    </w:p>
    <w:p>
      <w:pPr>
        <w:pStyle w:val="17"/>
        <w:numPr>
          <w:ilvl w:val="2"/>
          <w:numId w:val="4"/>
        </w:numPr>
        <w:snapToGrid w:val="0"/>
        <w:spacing w:after="0" w:line="240" w:lineRule="auto"/>
        <w:rPr>
          <w:rFonts w:eastAsia="宋体"/>
          <w:lang w:val="en-US" w:eastAsia="zh-CN"/>
        </w:rPr>
      </w:pPr>
      <w:r>
        <w:rPr>
          <w:rFonts w:eastAsia="宋体"/>
          <w:lang w:val="en-US" w:eastAsia="zh-CN"/>
        </w:rPr>
        <w:t>C</w:t>
      </w:r>
      <w:r>
        <w:rPr>
          <w:rFonts w:hint="eastAsia" w:eastAsia="宋体"/>
          <w:lang w:val="en-US" w:eastAsia="zh-CN"/>
        </w:rPr>
        <w:t>o</w:t>
      </w:r>
      <w:r>
        <w:rPr>
          <w:rFonts w:eastAsia="宋体"/>
          <w:lang w:val="en-US" w:eastAsia="zh-CN"/>
        </w:rPr>
        <w:t xml:space="preserve">mpanies report the false alarm target </w:t>
      </w:r>
    </w:p>
    <w:p>
      <w:pPr>
        <w:pStyle w:val="17"/>
        <w:numPr>
          <w:ilvl w:val="2"/>
          <w:numId w:val="4"/>
        </w:numPr>
        <w:snapToGrid w:val="0"/>
        <w:spacing w:after="0" w:line="240" w:lineRule="auto"/>
        <w:rPr>
          <w:rFonts w:eastAsia="宋体"/>
          <w:lang w:val="en-US" w:eastAsia="zh-CN"/>
        </w:rPr>
      </w:pPr>
      <w:r>
        <w:rPr>
          <w:rFonts w:eastAsia="宋体"/>
          <w:lang w:val="en-US" w:eastAsia="zh-CN"/>
        </w:rPr>
        <w:t>C</w:t>
      </w:r>
      <w:r>
        <w:rPr>
          <w:rFonts w:hint="eastAsia" w:eastAsia="宋体"/>
          <w:lang w:val="en-US" w:eastAsia="zh-CN"/>
        </w:rPr>
        <w:t>o</w:t>
      </w:r>
      <w:r>
        <w:rPr>
          <w:rFonts w:eastAsia="宋体"/>
          <w:lang w:val="en-US" w:eastAsia="zh-CN"/>
        </w:rPr>
        <w:t>mpanies report the DMRS configuration assumptions</w:t>
      </w:r>
    </w:p>
    <w:p>
      <w:pPr>
        <w:pStyle w:val="17"/>
        <w:numPr>
          <w:ilvl w:val="2"/>
          <w:numId w:val="4"/>
        </w:numPr>
        <w:snapToGrid w:val="0"/>
        <w:spacing w:after="0" w:line="240" w:lineRule="auto"/>
        <w:rPr>
          <w:rFonts w:eastAsia="宋体"/>
          <w:lang w:val="en-US" w:eastAsia="zh-CN"/>
        </w:rPr>
      </w:pPr>
      <w:r>
        <w:rPr>
          <w:rFonts w:eastAsia="宋体"/>
          <w:lang w:val="en-US" w:eastAsia="zh-CN"/>
        </w:rPr>
        <w:t>The number of UEs sharing the time/frequency-domain grant free resource: 1 is the baseline, larger than 1 can also be considered</w:t>
      </w:r>
    </w:p>
    <w:p>
      <w:pPr>
        <w:snapToGrid w:val="0"/>
        <w:spacing w:before="180" w:beforeLines="50" w:after="0" w:line="240" w:lineRule="auto"/>
        <w:rPr>
          <w:rFonts w:eastAsia="宋体"/>
          <w:szCs w:val="21"/>
          <w:highlight w:val="green"/>
          <w:lang w:val="en-US" w:eastAsia="zh-CN"/>
        </w:rPr>
      </w:pPr>
      <w:r>
        <w:rPr>
          <w:rFonts w:hint="default" w:ascii="Times New Roman" w:hAnsi="Times New Roman" w:eastAsia="宋体" w:cs="Times New Roman"/>
          <w:sz w:val="20"/>
          <w:szCs w:val="20"/>
          <w:highlight w:val="green"/>
          <w:lang w:val="en-US" w:eastAsia="zh-CN"/>
        </w:rPr>
        <w:t>RAN1 #</w:t>
      </w:r>
      <w:r>
        <w:rPr>
          <w:rFonts w:hint="eastAsia" w:ascii="Times New Roman" w:hAnsi="Times New Roman" w:eastAsia="宋体" w:cs="Times New Roman"/>
          <w:sz w:val="20"/>
          <w:szCs w:val="20"/>
          <w:highlight w:val="green"/>
          <w:lang w:val="en-US" w:eastAsia="zh-CN"/>
        </w:rPr>
        <w:t xml:space="preserve">AH1901 </w:t>
      </w:r>
      <w:r>
        <w:rPr>
          <w:rFonts w:hint="eastAsia" w:eastAsia="宋体"/>
          <w:szCs w:val="21"/>
          <w:highlight w:val="green"/>
          <w:lang w:val="en-US" w:eastAsia="zh-CN"/>
        </w:rPr>
        <w:t>Agreements:</w:t>
      </w:r>
    </w:p>
    <w:p>
      <w:pPr>
        <w:pStyle w:val="107"/>
        <w:widowControl w:val="0"/>
        <w:numPr>
          <w:ilvl w:val="-1"/>
          <w:numId w:val="0"/>
        </w:numPr>
        <w:snapToGrid w:val="0"/>
        <w:spacing w:after="120" w:line="240" w:lineRule="auto"/>
        <w:ind w:left="0" w:leftChars="0" w:firstLine="0"/>
        <w:rPr>
          <w:rFonts w:hint="eastAsia" w:eastAsia="宋体"/>
          <w:lang w:val="en-US" w:eastAsia="zh-CN"/>
        </w:rPr>
      </w:pPr>
      <w:r>
        <w:rPr>
          <w:rFonts w:ascii="Times New Roman" w:hAnsi="Times New Roman" w:eastAsia="Yu Mincho"/>
          <w:szCs w:val="20"/>
          <w:lang w:eastAsia="ja-JP"/>
        </w:rPr>
        <w:t xml:space="preserve">In Rel-16, for both Type 1 and Type 2 configured grant and when multiple active configurations are configured in a BWP, transmission of a TB based on the configured grant is </w:t>
      </w:r>
      <w:r>
        <w:rPr>
          <w:rFonts w:hint="eastAsia" w:ascii="Times New Roman" w:hAnsi="Times New Roman" w:eastAsia="Yu Mincho"/>
          <w:szCs w:val="20"/>
          <w:lang w:eastAsia="ja-JP"/>
        </w:rPr>
        <w:t>associated</w:t>
      </w:r>
      <w:r>
        <w:rPr>
          <w:rFonts w:ascii="Times New Roman" w:hAnsi="Times New Roman" w:eastAsia="Yu Mincho"/>
          <w:szCs w:val="20"/>
          <w:lang w:eastAsia="ja-JP"/>
        </w:rPr>
        <w:t xml:space="preserve"> with a single active configuration, even if the transmission is repeated</w:t>
      </w:r>
    </w:p>
    <w:p>
      <w:pPr>
        <w:spacing w:after="0" w:line="240" w:lineRule="auto"/>
        <w:rPr>
          <w:rFonts w:ascii="Times New Roman" w:hAnsi="Times New Roman" w:eastAsia="Yu Mincho"/>
          <w:szCs w:val="20"/>
          <w:lang w:eastAsia="ja-JP"/>
        </w:rPr>
      </w:pPr>
      <w:r>
        <w:rPr>
          <w:rFonts w:hint="default" w:ascii="Times New Roman" w:hAnsi="Times New Roman" w:eastAsia="宋体" w:cs="Times New Roman"/>
          <w:sz w:val="20"/>
          <w:szCs w:val="20"/>
          <w:highlight w:val="green"/>
          <w:lang w:val="en-US" w:eastAsia="zh-CN"/>
        </w:rPr>
        <w:t>RAN1 #</w:t>
      </w:r>
      <w:r>
        <w:rPr>
          <w:rFonts w:hint="eastAsia" w:ascii="Times New Roman" w:hAnsi="Times New Roman" w:eastAsia="宋体" w:cs="Times New Roman"/>
          <w:sz w:val="20"/>
          <w:szCs w:val="20"/>
          <w:highlight w:val="green"/>
          <w:lang w:val="en-US" w:eastAsia="zh-CN"/>
        </w:rPr>
        <w:t xml:space="preserve">AH1901 </w:t>
      </w:r>
      <w:r>
        <w:rPr>
          <w:szCs w:val="20"/>
          <w:highlight w:val="green"/>
        </w:rPr>
        <w:t>O</w:t>
      </w:r>
      <w:r>
        <w:rPr>
          <w:rFonts w:ascii="Times New Roman" w:hAnsi="Times New Roman" w:eastAsia="Yu Mincho"/>
          <w:szCs w:val="20"/>
          <w:highlight w:val="green"/>
          <w:lang w:eastAsia="ja-JP"/>
        </w:rPr>
        <w:t>bservations</w:t>
      </w:r>
      <w:r>
        <w:rPr>
          <w:rFonts w:ascii="Times New Roman" w:hAnsi="Times New Roman" w:eastAsia="Yu Mincho"/>
          <w:szCs w:val="20"/>
          <w:lang w:eastAsia="ja-JP"/>
        </w:rPr>
        <w:t>:</w:t>
      </w:r>
    </w:p>
    <w:p>
      <w:pPr>
        <w:pStyle w:val="17"/>
        <w:numPr>
          <w:ilvl w:val="0"/>
          <w:numId w:val="4"/>
        </w:numPr>
        <w:snapToGrid w:val="0"/>
        <w:spacing w:after="0" w:line="240" w:lineRule="auto"/>
        <w:rPr>
          <w:rFonts w:hint="eastAsia" w:ascii="Times New Roman" w:hAnsi="Times New Roman" w:eastAsia="宋体" w:cs="Times New Roman"/>
          <w:sz w:val="20"/>
          <w:szCs w:val="20"/>
          <w:lang w:val="en-US" w:eastAsia="ja-JP"/>
        </w:rPr>
      </w:pPr>
      <w:r>
        <w:rPr>
          <w:rFonts w:hint="eastAsia" w:ascii="Times New Roman" w:hAnsi="Times New Roman" w:eastAsia="宋体" w:cs="Times New Roman"/>
          <w:sz w:val="20"/>
          <w:szCs w:val="20"/>
          <w:lang w:val="en-US" w:eastAsia="ja-JP"/>
        </w:rPr>
        <w:t>PUSCH miss detection performance highly depends on the PUSCH configurations such as DMRS configuration, resource allocation, and false-alarm target setting.</w:t>
      </w:r>
    </w:p>
    <w:p>
      <w:pPr>
        <w:pStyle w:val="17"/>
        <w:numPr>
          <w:ilvl w:val="1"/>
          <w:numId w:val="4"/>
        </w:numPr>
        <w:snapToGrid w:val="0"/>
        <w:spacing w:after="0" w:line="240" w:lineRule="auto"/>
        <w:ind w:left="1440" w:leftChars="0" w:hanging="360" w:firstLineChars="0"/>
        <w:rPr>
          <w:rFonts w:hint="eastAsia" w:ascii="Times New Roman" w:hAnsi="Times New Roman" w:eastAsia="宋体" w:cs="Times New Roman"/>
          <w:sz w:val="20"/>
          <w:szCs w:val="20"/>
          <w:lang w:val="en-US" w:eastAsia="ja-JP"/>
        </w:rPr>
      </w:pPr>
      <w:r>
        <w:rPr>
          <w:rFonts w:hint="eastAsia" w:ascii="Times New Roman" w:hAnsi="Times New Roman" w:eastAsia="宋体" w:cs="Times New Roman"/>
          <w:sz w:val="20"/>
          <w:szCs w:val="20"/>
          <w:lang w:val="en-US" w:eastAsia="ja-JP"/>
        </w:rPr>
        <w:t xml:space="preserve">If a configured grant PUSCH resource is not shared by multiple UEs, </w:t>
      </w:r>
    </w:p>
    <w:p>
      <w:pPr>
        <w:pStyle w:val="17"/>
        <w:numPr>
          <w:ilvl w:val="2"/>
          <w:numId w:val="4"/>
        </w:numPr>
        <w:snapToGrid w:val="0"/>
        <w:spacing w:after="0" w:line="240" w:lineRule="auto"/>
        <w:ind w:left="2160" w:leftChars="0" w:hanging="360" w:firstLineChars="0"/>
        <w:rPr>
          <w:rFonts w:ascii="Times New Roman" w:hAnsi="Times New Roman" w:eastAsia="Yu Mincho"/>
          <w:szCs w:val="20"/>
          <w:lang w:eastAsia="ja-JP"/>
        </w:rPr>
      </w:pPr>
      <w:r>
        <w:rPr>
          <w:rFonts w:hint="eastAsia" w:ascii="Times New Roman" w:hAnsi="Times New Roman" w:eastAsia="宋体" w:cs="Times New Roman"/>
          <w:sz w:val="20"/>
          <w:szCs w:val="20"/>
          <w:lang w:val="en-US" w:eastAsia="ja-JP"/>
        </w:rPr>
        <w:t>7 companies observed that if the reliability requirement is to be met by a single transmission, all the results show that PUSCH miss detection probability is lower than the PUSCH target BLER under the respective evaluation assumptions (e.</w:t>
      </w:r>
      <w:r>
        <w:rPr>
          <w:rFonts w:ascii="Times New Roman" w:hAnsi="Times New Roman" w:eastAsia="Yu Mincho"/>
          <w:szCs w:val="20"/>
          <w:lang w:eastAsia="ja-JP"/>
        </w:rPr>
        <w:t>g., MCS levels, etc.).</w:t>
      </w:r>
    </w:p>
    <w:p>
      <w:pPr>
        <w:pStyle w:val="17"/>
        <w:numPr>
          <w:ilvl w:val="-1"/>
          <w:numId w:val="0"/>
        </w:numPr>
        <w:snapToGrid w:val="0"/>
        <w:spacing w:after="0" w:line="240" w:lineRule="auto"/>
        <w:ind w:left="1800" w:leftChars="0" w:firstLine="0" w:firstLineChars="0"/>
        <w:rPr>
          <w:rFonts w:ascii="Times New Roman" w:hAnsi="Times New Roman" w:eastAsia="Yu Mincho"/>
          <w:szCs w:val="20"/>
          <w:lang w:eastAsia="ja-JP"/>
        </w:rPr>
      </w:pPr>
    </w:p>
    <w:p>
      <w:pPr>
        <w:pStyle w:val="17"/>
        <w:numPr>
          <w:ilvl w:val="0"/>
          <w:numId w:val="4"/>
        </w:numPr>
        <w:snapToGrid w:val="0"/>
        <w:spacing w:after="0" w:line="240" w:lineRule="auto"/>
        <w:rPr>
          <w:rFonts w:hint="eastAsia" w:ascii="Times New Roman" w:hAnsi="Times New Roman" w:eastAsia="宋体" w:cs="Times New Roman"/>
          <w:sz w:val="20"/>
          <w:szCs w:val="20"/>
          <w:lang w:val="en-US" w:eastAsia="ja-JP"/>
        </w:rPr>
      </w:pPr>
      <w:r>
        <w:rPr>
          <w:rFonts w:hint="eastAsia" w:ascii="Times New Roman" w:hAnsi="Times New Roman" w:eastAsia="宋体" w:cs="Times New Roman"/>
          <w:sz w:val="20"/>
          <w:szCs w:val="20"/>
          <w:lang w:val="en-US" w:eastAsia="ja-JP"/>
        </w:rPr>
        <w:t xml:space="preserve">If the overall PUSCH BLER target requirement is to be met by uplink grant based HARQ re-transmission for the configured grant PUSCH, the BLER of the configured grant PUSCH transmission can be higher than the overall PUSCH BLER target such that the </w:t>
      </w:r>
      <w:bookmarkStart w:id="2" w:name="OLE_LINK3"/>
      <w:bookmarkStart w:id="3" w:name="OLE_LINK2"/>
      <w:r>
        <w:rPr>
          <w:rFonts w:hint="eastAsia" w:ascii="Times New Roman" w:hAnsi="Times New Roman" w:eastAsia="宋体" w:cs="Times New Roman"/>
          <w:sz w:val="20"/>
          <w:szCs w:val="20"/>
          <w:lang w:val="en-US" w:eastAsia="ja-JP"/>
        </w:rPr>
        <w:t>residual</w:t>
      </w:r>
      <w:bookmarkEnd w:id="2"/>
      <w:bookmarkEnd w:id="3"/>
      <w:r>
        <w:rPr>
          <w:rFonts w:hint="eastAsia" w:ascii="Times New Roman" w:hAnsi="Times New Roman" w:eastAsia="宋体" w:cs="Times New Roman"/>
          <w:sz w:val="20"/>
          <w:szCs w:val="20"/>
          <w:lang w:val="en-US" w:eastAsia="ja-JP"/>
        </w:rPr>
        <w:t xml:space="preserve"> BLER after the re-transmission achieves the overall PUSCH BLER target; even in this case, miss detection probability for configured grant PUSCH should not be higher than the overall PUSCH BLER target. </w:t>
      </w:r>
    </w:p>
    <w:p>
      <w:pPr>
        <w:snapToGrid w:val="0"/>
        <w:spacing w:before="180" w:beforeLines="50" w:afterLines="50" w:line="240" w:lineRule="auto"/>
        <w:rPr>
          <w:rFonts w:eastAsiaTheme="minorEastAsia"/>
          <w:color w:val="000000"/>
          <w:lang w:val="en-US" w:eastAsia="zh-CN"/>
        </w:rPr>
      </w:pPr>
      <w:r>
        <w:rPr>
          <w:rFonts w:hint="eastAsia" w:eastAsia="宋体"/>
          <w:lang w:val="en-US" w:eastAsia="zh-CN"/>
        </w:rPr>
        <w:t xml:space="preserve">In this contribution, we mainly discuss explicit ACK feedback and multiple active configured grant configurations </w:t>
      </w:r>
    </w:p>
    <w:p>
      <w:pPr>
        <w:pStyle w:val="2"/>
        <w:numPr>
          <w:ilvl w:val="0"/>
          <w:numId w:val="3"/>
        </w:numPr>
        <w:pBdr>
          <w:top w:val="single" w:color="auto" w:sz="12" w:space="2"/>
        </w:pBdr>
        <w:snapToGrid w:val="0"/>
        <w:spacing w:beforeLines="0" w:after="180" w:afterLines="50"/>
        <w:rPr>
          <w:lang w:val="en-US"/>
        </w:rPr>
      </w:pPr>
      <w:r>
        <w:rPr>
          <w:rFonts w:hint="eastAsia"/>
          <w:lang w:val="en-US"/>
        </w:rPr>
        <w:t>Enhanced HARQ-ACK feedback</w:t>
      </w:r>
    </w:p>
    <w:p>
      <w:pPr>
        <w:snapToGrid w:val="0"/>
        <w:spacing w:afterLines="50" w:line="240" w:lineRule="auto"/>
        <w:rPr>
          <w:rFonts w:hint="eastAsia" w:eastAsiaTheme="minorEastAsia"/>
          <w:color w:val="000000"/>
          <w:lang w:val="en-US" w:eastAsia="zh-CN"/>
        </w:rPr>
      </w:pPr>
      <w:r>
        <w:rPr>
          <w:rFonts w:hint="eastAsia" w:eastAsiaTheme="minorEastAsia"/>
          <w:color w:val="000000"/>
          <w:lang w:val="en-US" w:eastAsia="zh-CN"/>
        </w:rPr>
        <w:t>One reason to introduce the explicit ACK for grant-free PUSCH transmission depends on the miss detection issue. In the last meeting, following observation was achieved:</w:t>
      </w:r>
    </w:p>
    <w:p>
      <w:pPr>
        <w:pStyle w:val="17"/>
        <w:numPr>
          <w:ilvl w:val="0"/>
          <w:numId w:val="4"/>
        </w:numPr>
        <w:snapToGrid w:val="0"/>
        <w:spacing w:after="181" w:afterLines="50" w:line="240" w:lineRule="auto"/>
        <w:ind w:left="726" w:hanging="363"/>
        <w:rPr>
          <w:rFonts w:hint="eastAsia" w:ascii="Times New Roman" w:hAnsi="Times New Roman" w:eastAsia="宋体" w:cs="Times New Roman"/>
          <w:sz w:val="20"/>
          <w:szCs w:val="20"/>
          <w:lang w:val="en-US" w:eastAsia="ja-JP"/>
        </w:rPr>
      </w:pPr>
      <w:r>
        <w:rPr>
          <w:rFonts w:hint="eastAsia" w:ascii="Times New Roman" w:hAnsi="Times New Roman" w:eastAsia="宋体" w:cs="Times New Roman"/>
          <w:sz w:val="20"/>
          <w:szCs w:val="20"/>
          <w:lang w:val="en-US" w:eastAsia="ja-JP"/>
        </w:rPr>
        <w:t xml:space="preserve">If the overall PUSCH BLER target requirement is to be met by uplink grant based HARQ re-transmission for the configured grant PUSCH, the BLER of the configured grant PUSCH transmission can be higher than the overall PUSCH BLER target such that the residual BLER after the re-transmission achieves the overall PUSCH BLER target; even in this case, miss detection probability for configured grant PUSCH should not be higher than the overall PUSCH BLER target. </w:t>
      </w:r>
    </w:p>
    <w:p>
      <w:pPr>
        <w:snapToGrid w:val="0"/>
        <w:spacing w:before="0" w:beforeLines="0" w:afterLines="50" w:line="240" w:lineRule="auto"/>
        <w:rPr>
          <w:rFonts w:hint="eastAsia" w:eastAsiaTheme="minorEastAsia"/>
          <w:color w:val="000000"/>
          <w:szCs w:val="21"/>
          <w:lang w:val="en-US" w:eastAsia="zh-CN"/>
        </w:rPr>
      </w:pPr>
      <w:r>
        <w:rPr>
          <w:rFonts w:hint="eastAsia" w:eastAsiaTheme="minorEastAsia"/>
          <w:color w:val="000000"/>
          <w:szCs w:val="21"/>
          <w:lang w:val="en-US" w:eastAsia="zh-CN"/>
        </w:rPr>
        <w:t>According to the latency analysis in [4], 2-OS PUSCH with 30 kHz or 2/4-OS PUSCH with 60 kHz for grant free PUSCH has a chance for one retransmission even within 1ms latency boundary. There would be more retransmission opportunities for a larger latency budget. It means the reliability of initial transmission of URLLC traffic with 99.999% and 99.9999% overall reliability could be set to,.e.g., 90% and 99% respectively. In other words, to ensure the overall reliability, the probability of miss detection should not exceed 10</w:t>
      </w:r>
      <w:r>
        <w:rPr>
          <w:rFonts w:hint="eastAsia" w:eastAsiaTheme="minorEastAsia"/>
          <w:color w:val="000000"/>
          <w:szCs w:val="21"/>
          <w:vertAlign w:val="superscript"/>
          <w:lang w:val="en-US" w:eastAsia="zh-CN"/>
        </w:rPr>
        <w:t>-5</w:t>
      </w:r>
      <w:r>
        <w:rPr>
          <w:rFonts w:hint="eastAsia" w:eastAsiaTheme="minorEastAsia"/>
          <w:color w:val="000000"/>
          <w:szCs w:val="21"/>
          <w:lang w:val="en-US" w:eastAsia="zh-CN"/>
        </w:rPr>
        <w:t xml:space="preserve"> and 10</w:t>
      </w:r>
      <w:r>
        <w:rPr>
          <w:rFonts w:hint="eastAsia" w:eastAsiaTheme="minorEastAsia"/>
          <w:color w:val="000000"/>
          <w:szCs w:val="21"/>
          <w:vertAlign w:val="superscript"/>
          <w:lang w:val="en-US" w:eastAsia="zh-CN"/>
        </w:rPr>
        <w:t>-6</w:t>
      </w:r>
      <w:r>
        <w:rPr>
          <w:rFonts w:hint="eastAsia" w:eastAsiaTheme="minorEastAsia"/>
          <w:color w:val="000000"/>
          <w:szCs w:val="21"/>
          <w:lang w:val="en-US" w:eastAsia="zh-CN"/>
        </w:rPr>
        <w:t xml:space="preserve"> at the required SNR which meets 10</w:t>
      </w:r>
      <w:r>
        <w:rPr>
          <w:rFonts w:hint="eastAsia" w:eastAsiaTheme="minorEastAsia"/>
          <w:color w:val="000000"/>
          <w:szCs w:val="21"/>
          <w:vertAlign w:val="superscript"/>
          <w:lang w:val="en-US" w:eastAsia="zh-CN"/>
        </w:rPr>
        <w:t>-1</w:t>
      </w:r>
      <w:r>
        <w:rPr>
          <w:rFonts w:hint="eastAsia" w:eastAsiaTheme="minorEastAsia"/>
          <w:color w:val="000000"/>
          <w:szCs w:val="21"/>
          <w:lang w:val="en-US" w:eastAsia="zh-CN"/>
        </w:rPr>
        <w:t xml:space="preserve"> and 10</w:t>
      </w:r>
      <w:r>
        <w:rPr>
          <w:rFonts w:hint="eastAsia" w:eastAsiaTheme="minorEastAsia"/>
          <w:color w:val="000000"/>
          <w:szCs w:val="21"/>
          <w:vertAlign w:val="superscript"/>
          <w:lang w:val="en-US" w:eastAsia="zh-CN"/>
        </w:rPr>
        <w:t>-2</w:t>
      </w:r>
      <w:r>
        <w:rPr>
          <w:rFonts w:hint="eastAsia" w:eastAsiaTheme="minorEastAsia"/>
          <w:color w:val="000000"/>
          <w:szCs w:val="21"/>
          <w:lang w:val="en-US" w:eastAsia="zh-CN"/>
        </w:rPr>
        <w:t xml:space="preserve"> PUSCH BLER. However, based on the simulation results provided in [5][6][7][8], this cannot be guaranteed. Take the simulation results in [5] as an example, the required SNR for 10</w:t>
      </w:r>
      <w:r>
        <w:rPr>
          <w:rFonts w:hint="eastAsia" w:eastAsiaTheme="minorEastAsia"/>
          <w:color w:val="000000"/>
          <w:szCs w:val="21"/>
          <w:vertAlign w:val="superscript"/>
          <w:lang w:val="en-US" w:eastAsia="zh-CN"/>
        </w:rPr>
        <w:t>-1</w:t>
      </w:r>
      <w:r>
        <w:rPr>
          <w:rFonts w:hint="eastAsia" w:eastAsiaTheme="minorEastAsia"/>
          <w:color w:val="000000"/>
          <w:szCs w:val="21"/>
          <w:lang w:val="en-US" w:eastAsia="zh-CN"/>
        </w:rPr>
        <w:t xml:space="preserve"> PUSCH BLER is about -2dB, where the miss detection is about 10</w:t>
      </w:r>
      <w:r>
        <w:rPr>
          <w:rFonts w:hint="eastAsia" w:eastAsiaTheme="minorEastAsia"/>
          <w:color w:val="000000"/>
          <w:szCs w:val="21"/>
          <w:vertAlign w:val="superscript"/>
          <w:lang w:val="en-US" w:eastAsia="zh-CN"/>
        </w:rPr>
        <w:t xml:space="preserve">-3  </w:t>
      </w:r>
      <w:r>
        <w:rPr>
          <w:rFonts w:hint="eastAsia" w:eastAsiaTheme="minorEastAsia"/>
          <w:color w:val="000000"/>
          <w:szCs w:val="21"/>
          <w:lang w:val="en-US" w:eastAsia="zh-CN"/>
        </w:rPr>
        <w:t>which is much higher than 10</w:t>
      </w:r>
      <w:r>
        <w:rPr>
          <w:rFonts w:hint="eastAsia" w:eastAsiaTheme="minorEastAsia"/>
          <w:color w:val="000000"/>
          <w:szCs w:val="21"/>
          <w:vertAlign w:val="superscript"/>
          <w:lang w:val="en-US" w:eastAsia="zh-CN"/>
        </w:rPr>
        <w:t>-5</w:t>
      </w:r>
      <w:r>
        <w:rPr>
          <w:rFonts w:hint="eastAsia" w:eastAsiaTheme="minorEastAsia"/>
          <w:color w:val="000000"/>
          <w:szCs w:val="21"/>
          <w:lang w:val="en-US" w:eastAsia="zh-CN"/>
        </w:rPr>
        <w:t xml:space="preserve">. Note that this is the best situation because no interference is taken into account. If interference is taken into account, the miss detection performance may deteriorate further [9]. </w:t>
      </w:r>
    </w:p>
    <w:p>
      <w:pPr>
        <w:snapToGrid w:val="0"/>
        <w:spacing w:before="181" w:beforeLines="50" w:afterLines="50" w:line="240" w:lineRule="auto"/>
        <w:rPr>
          <w:rFonts w:hint="eastAsia" w:eastAsiaTheme="minorEastAsia"/>
          <w:color w:val="000000"/>
          <w:szCs w:val="21"/>
          <w:lang w:val="en-US" w:eastAsia="zh-CN"/>
        </w:rPr>
      </w:pPr>
      <w:r>
        <w:rPr>
          <w:rFonts w:hint="eastAsia" w:eastAsiaTheme="minorEastAsia"/>
          <w:color w:val="000000"/>
          <w:szCs w:val="21"/>
          <w:lang w:val="en-US" w:eastAsia="zh-CN"/>
        </w:rPr>
        <w:t>As long as miss detection is an issue in some cases, explicit ACK should be introduced for UL grant-free transmission to deal with such problems. In this case, if explicit ACK and UL grant scheduled retransmission are not received by the UE, the UE should assume that the grant-free transmission is missed by gNB.</w:t>
      </w:r>
    </w:p>
    <w:p>
      <w:pPr>
        <w:snapToGrid w:val="0"/>
        <w:spacing w:before="181" w:beforeLines="50" w:afterLines="50" w:line="240" w:lineRule="auto"/>
        <w:rPr>
          <w:rFonts w:hint="default" w:eastAsiaTheme="minorEastAsia"/>
          <w:color w:val="000000"/>
          <w:szCs w:val="21"/>
          <w:lang w:val="en-US" w:eastAsia="zh-CN"/>
        </w:rPr>
      </w:pPr>
      <w:r>
        <w:rPr>
          <w:rFonts w:hint="eastAsia" w:eastAsiaTheme="minorEastAsia"/>
          <w:color w:val="000000"/>
          <w:szCs w:val="21"/>
          <w:lang w:val="en-US" w:eastAsia="zh-CN"/>
        </w:rPr>
        <w:t>In addition, explicit ACK is also beneficial in terms of early termination as proposed by many companies. Many benefits are consequent on early termination such as, lower interference, higher power efficiency, higher resource efficiency.  Therefore, we propose to support explicit ACK for grant-free transmission.</w:t>
      </w:r>
    </w:p>
    <w:p>
      <w:pPr>
        <w:widowControl w:val="0"/>
        <w:numPr>
          <w:ilvl w:val="255"/>
          <w:numId w:val="0"/>
        </w:numPr>
        <w:overflowPunct/>
        <w:snapToGrid w:val="0"/>
        <w:spacing w:afterLines="50" w:line="240" w:lineRule="auto"/>
        <w:jc w:val="left"/>
        <w:textAlignment w:val="auto"/>
        <w:rPr>
          <w:b/>
          <w:bCs/>
          <w:i/>
          <w:iCs/>
          <w:lang w:val="en-US" w:eastAsia="zh-CN"/>
        </w:rPr>
      </w:pPr>
      <w:r>
        <w:rPr>
          <w:b/>
          <w:bCs/>
          <w:i/>
          <w:iCs/>
        </w:rPr>
        <w:t xml:space="preserve">Proposal </w:t>
      </w:r>
      <w:r>
        <w:rPr>
          <w:rFonts w:hint="eastAsia"/>
          <w:b/>
          <w:bCs/>
          <w:i/>
          <w:iCs/>
          <w:lang w:val="en-US" w:eastAsia="zh-CN"/>
        </w:rPr>
        <w:t xml:space="preserve">1: </w:t>
      </w:r>
      <w:r>
        <w:rPr>
          <w:rFonts w:hint="eastAsia"/>
          <w:b w:val="0"/>
          <w:bCs w:val="0"/>
          <w:i/>
          <w:iCs/>
          <w:lang w:val="en-US" w:eastAsia="zh-CN"/>
        </w:rPr>
        <w:t>Explicit ACK should be introduced for UL grant-free transmission.</w:t>
      </w:r>
    </w:p>
    <w:p>
      <w:pPr>
        <w:pStyle w:val="3"/>
        <w:widowControl w:val="0"/>
        <w:numPr>
          <w:ilvl w:val="255"/>
          <w:numId w:val="0"/>
        </w:numPr>
        <w:overflowPunct/>
        <w:snapToGrid w:val="0"/>
        <w:spacing w:after="260"/>
        <w:jc w:val="left"/>
        <w:textAlignment w:val="auto"/>
        <w:rPr>
          <w:rFonts w:eastAsia="黑体"/>
          <w:b/>
          <w:bCs w:val="0"/>
          <w:iCs w:val="0"/>
          <w:sz w:val="24"/>
          <w:szCs w:val="24"/>
          <w:lang w:eastAsia="zh-CN"/>
        </w:rPr>
      </w:pPr>
      <w:r>
        <w:rPr>
          <w:rFonts w:eastAsia="黑体"/>
          <w:b/>
          <w:bCs w:val="0"/>
          <w:iCs w:val="0"/>
          <w:sz w:val="24"/>
          <w:szCs w:val="24"/>
          <w:lang w:eastAsia="zh-CN"/>
        </w:rPr>
        <w:t>2</w:t>
      </w:r>
      <w:r>
        <w:rPr>
          <w:rFonts w:hint="eastAsia" w:eastAsia="黑体"/>
          <w:b/>
          <w:bCs w:val="0"/>
          <w:iCs w:val="0"/>
          <w:sz w:val="24"/>
          <w:szCs w:val="24"/>
          <w:lang w:eastAsia="zh-CN"/>
        </w:rPr>
        <w:t>.</w:t>
      </w:r>
      <w:r>
        <w:rPr>
          <w:rFonts w:eastAsia="黑体"/>
          <w:b/>
          <w:bCs w:val="0"/>
          <w:iCs w:val="0"/>
          <w:sz w:val="24"/>
          <w:szCs w:val="24"/>
          <w:lang w:eastAsia="zh-CN"/>
        </w:rPr>
        <w:t>1</w:t>
      </w:r>
      <w:r>
        <w:rPr>
          <w:rFonts w:hint="eastAsia" w:eastAsia="黑体"/>
          <w:b/>
          <w:bCs w:val="0"/>
          <w:iCs w:val="0"/>
          <w:sz w:val="24"/>
          <w:szCs w:val="24"/>
          <w:lang w:eastAsia="zh-CN"/>
        </w:rPr>
        <w:t xml:space="preserve"> Sequence based vs DCI based ACK feedback </w:t>
      </w:r>
    </w:p>
    <w:p>
      <w:pPr>
        <w:snapToGrid w:val="0"/>
        <w:spacing w:afterLines="50" w:line="240" w:lineRule="auto"/>
        <w:rPr>
          <w:rFonts w:eastAsiaTheme="minorEastAsia"/>
          <w:color w:val="000000"/>
          <w:lang w:val="en-US" w:eastAsia="zh-CN"/>
        </w:rPr>
      </w:pPr>
      <w:bookmarkStart w:id="4" w:name="OLE_LINK13"/>
      <w:r>
        <w:rPr>
          <w:rFonts w:eastAsiaTheme="minorEastAsia"/>
          <w:color w:val="000000"/>
          <w:lang w:val="en-US" w:eastAsia="zh-CN"/>
        </w:rPr>
        <w:t xml:space="preserve">To introduce an explicit ACK for UL grant-free transmission, two schemes are on the table currently summarized as follows. </w:t>
      </w:r>
    </w:p>
    <w:p>
      <w:pPr>
        <w:pStyle w:val="102"/>
        <w:numPr>
          <w:ilvl w:val="0"/>
          <w:numId w:val="5"/>
        </w:numPr>
        <w:snapToGrid w:val="0"/>
        <w:spacing w:afterLines="50" w:line="240" w:lineRule="auto"/>
        <w:ind w:firstLineChars="0"/>
        <w:textAlignment w:val="center"/>
        <w:rPr>
          <w:rFonts w:eastAsiaTheme="minorEastAsia"/>
          <w:color w:val="000000"/>
          <w:lang w:val="en-US" w:eastAsia="zh-CN"/>
        </w:rPr>
      </w:pPr>
      <w:r>
        <w:rPr>
          <w:rFonts w:eastAsiaTheme="minorEastAsia"/>
          <w:b/>
          <w:bCs/>
          <w:color w:val="000000"/>
          <w:lang w:val="en-US" w:eastAsia="zh-CN"/>
        </w:rPr>
        <w:t xml:space="preserve">Option1: Sequence based solution. </w:t>
      </w:r>
      <w:r>
        <w:rPr>
          <w:rFonts w:eastAsiaTheme="minorEastAsia"/>
          <w:color w:val="000000"/>
          <w:lang w:val="en-US" w:eastAsia="zh-CN"/>
        </w:rPr>
        <w:t xml:space="preserve">This </w:t>
      </w:r>
      <w:r>
        <w:rPr>
          <w:rFonts w:hint="eastAsia" w:eastAsiaTheme="minorEastAsia"/>
          <w:color w:val="000000"/>
          <w:lang w:val="en-US" w:eastAsia="zh-CN"/>
        </w:rPr>
        <w:t>is to use a sequence to represent ACK for a certain UL transmission.</w:t>
      </w:r>
      <w:r>
        <w:rPr>
          <w:rFonts w:eastAsiaTheme="minorEastAsia"/>
          <w:color w:val="000000"/>
          <w:lang w:val="en-US" w:eastAsia="zh-CN"/>
        </w:rPr>
        <w:t xml:space="preserve"> One out of multiple sequences could be utilized for carrying more bits of information. </w:t>
      </w:r>
      <w:r>
        <w:rPr>
          <w:rFonts w:hint="eastAsia" w:eastAsiaTheme="minorEastAsia"/>
          <w:color w:val="000000"/>
          <w:lang w:val="en-US" w:eastAsia="zh-CN"/>
        </w:rPr>
        <w:t>A false alarm threshold needs to be defined for this option. Here, we assume the probability of gNB</w:t>
      </w:r>
      <w:r>
        <w:rPr>
          <w:rFonts w:eastAsiaTheme="minorEastAsia"/>
          <w:color w:val="000000"/>
          <w:lang w:val="en-US" w:eastAsia="zh-CN"/>
        </w:rPr>
        <w:t>’s mis</w:t>
      </w:r>
      <w:r>
        <w:rPr>
          <w:rFonts w:hint="eastAsia" w:eastAsiaTheme="minorEastAsia"/>
          <w:color w:val="000000"/>
          <w:lang w:val="en-US" w:eastAsia="zh-CN"/>
        </w:rPr>
        <w:t xml:space="preserve">sing </w:t>
      </w:r>
      <w:r>
        <w:rPr>
          <w:rFonts w:eastAsiaTheme="minorEastAsia"/>
          <w:color w:val="000000"/>
          <w:lang w:val="en-US" w:eastAsia="zh-CN"/>
        </w:rPr>
        <w:t>detection of the grant-free transmission</w:t>
      </w:r>
      <w:r>
        <w:rPr>
          <w:rFonts w:hint="eastAsia" w:eastAsiaTheme="minorEastAsia"/>
          <w:color w:val="000000"/>
          <w:lang w:val="en-US" w:eastAsia="zh-CN"/>
        </w:rPr>
        <w:t xml:space="preserve"> is P</w:t>
      </w:r>
      <w:r>
        <w:rPr>
          <w:rFonts w:hint="eastAsia" w:eastAsiaTheme="minorEastAsia"/>
          <w:color w:val="000000"/>
          <w:vertAlign w:val="subscript"/>
          <w:lang w:val="en-US" w:eastAsia="zh-CN"/>
        </w:rPr>
        <w:t>DTX</w:t>
      </w:r>
      <w:r>
        <w:rPr>
          <w:rFonts w:hint="eastAsia" w:eastAsiaTheme="minorEastAsia"/>
          <w:color w:val="000000"/>
          <w:lang w:val="en-US" w:eastAsia="zh-CN"/>
        </w:rPr>
        <w:t xml:space="preserve">, and the </w:t>
      </w:r>
      <w:r>
        <w:rPr>
          <w:rFonts w:eastAsiaTheme="minorEastAsia"/>
          <w:color w:val="000000"/>
          <w:lang w:val="en-US" w:eastAsia="zh-CN"/>
        </w:rPr>
        <w:t>false alarm probabilit</w:t>
      </w:r>
      <w:r>
        <w:rPr>
          <w:rFonts w:hint="eastAsia" w:eastAsiaTheme="minorEastAsia"/>
          <w:color w:val="000000"/>
          <w:lang w:val="en-US" w:eastAsia="zh-CN"/>
        </w:rPr>
        <w:t>y of detecting a sequence is P</w:t>
      </w:r>
      <w:r>
        <w:rPr>
          <w:rFonts w:hint="eastAsia" w:eastAsiaTheme="minorEastAsia"/>
          <w:color w:val="000000"/>
          <w:vertAlign w:val="subscript"/>
          <w:lang w:val="en-US" w:eastAsia="zh-CN"/>
        </w:rPr>
        <w:t>false</w:t>
      </w:r>
      <w:r>
        <w:rPr>
          <w:rFonts w:hint="eastAsia" w:eastAsiaTheme="minorEastAsia"/>
          <w:color w:val="000000"/>
          <w:lang w:val="en-US" w:eastAsia="zh-CN"/>
        </w:rPr>
        <w:t xml:space="preserve">. To avoid packet loss, </w:t>
      </w:r>
      <w:r>
        <w:rPr>
          <w:rFonts w:hint="eastAsia" w:eastAsiaTheme="minorEastAsia"/>
          <w:color w:val="000000"/>
          <w:lang w:val="en-US" w:eastAsia="zh-CN"/>
        </w:rPr>
        <w:object>
          <v:shape id="_x0000_i1025" o:spt="75" type="#_x0000_t75" style="height:14.25pt;width:39.75pt;" o:ole="t" filled="f" o:preferrelative="t" stroked="f" coordsize="21600,21600">
            <v:path/>
            <v:fill on="f" focussize="0,0"/>
            <v:stroke on="f" joinstyle="miter"/>
            <v:imagedata r:id="rId6" o:title=""/>
            <o:lock v:ext="edit" aspectratio="t"/>
            <w10:wrap type="none"/>
            <w10:anchorlock/>
          </v:shape>
          <o:OLEObject Type="Embed" ProgID="Equation.3" ShapeID="_x0000_i1025" DrawAspect="Content" ObjectID="_1468075725" r:id="rId5">
            <o:LockedField>false</o:LockedField>
          </o:OLEObject>
        </w:object>
      </w:r>
      <w:r>
        <w:rPr>
          <w:rFonts w:hint="eastAsia" w:eastAsiaTheme="minorEastAsia"/>
          <w:color w:val="000000"/>
          <w:lang w:val="en-US" w:eastAsia="zh-CN"/>
        </w:rPr>
        <w:t xml:space="preserve"> shall be smaller than error requirement, e.g. 10</w:t>
      </w:r>
      <w:r>
        <w:rPr>
          <w:rFonts w:hint="eastAsia" w:eastAsiaTheme="minorEastAsia"/>
          <w:color w:val="000000"/>
          <w:vertAlign w:val="superscript"/>
          <w:lang w:val="en-US" w:eastAsia="zh-CN"/>
        </w:rPr>
        <w:t>-6</w:t>
      </w:r>
      <w:r>
        <w:rPr>
          <w:rFonts w:hint="eastAsia" w:eastAsiaTheme="minorEastAsia"/>
          <w:color w:val="000000"/>
          <w:lang w:val="en-US" w:eastAsia="zh-CN"/>
        </w:rPr>
        <w:t xml:space="preserve">. In the simulation, </w:t>
      </w:r>
      <w:r>
        <w:rPr>
          <w:rFonts w:hint="eastAsia" w:eastAsiaTheme="minorEastAsia"/>
          <w:color w:val="000000"/>
          <w:lang w:val="en-US" w:eastAsia="zh-CN"/>
        </w:rPr>
        <w:object>
          <v:shape id="_x0000_i1026" o:spt="75" type="#_x0000_t75" style="height:15pt;width:68.25pt;" o:ole="t" filled="f" o:preferrelative="t" stroked="f" coordsize="21600,21600">
            <v:path/>
            <v:fill on="f" focussize="0,0"/>
            <v:stroke on="f" joinstyle="miter"/>
            <v:imagedata r:id="rId8" o:title=""/>
            <o:lock v:ext="edit" aspectratio="t"/>
            <w10:wrap type="none"/>
            <w10:anchorlock/>
          </v:shape>
          <o:OLEObject Type="Embed" ProgID="Equation.3" ShapeID="_x0000_i1026" DrawAspect="Content" ObjectID="_1468075726" r:id="rId7">
            <o:LockedField>false</o:LockedField>
          </o:OLEObject>
        </w:object>
      </w:r>
      <w:r>
        <w:rPr>
          <w:rFonts w:hint="eastAsia" w:eastAsiaTheme="minorEastAsia"/>
          <w:color w:val="000000"/>
          <w:lang w:val="en-US" w:eastAsia="zh-CN"/>
        </w:rPr>
        <w:t xml:space="preserve"> for sequence based solution is used. </w:t>
      </w:r>
    </w:p>
    <w:p>
      <w:pPr>
        <w:pStyle w:val="102"/>
        <w:numPr>
          <w:ilvl w:val="0"/>
          <w:numId w:val="5"/>
        </w:numPr>
        <w:snapToGrid w:val="0"/>
        <w:spacing w:afterLines="50" w:line="240" w:lineRule="auto"/>
        <w:ind w:firstLineChars="0"/>
        <w:rPr>
          <w:rFonts w:eastAsiaTheme="minorEastAsia"/>
          <w:color w:val="000000"/>
          <w:lang w:val="en-US" w:eastAsia="zh-CN"/>
        </w:rPr>
      </w:pPr>
      <w:r>
        <w:rPr>
          <w:rFonts w:eastAsiaTheme="minorEastAsia"/>
          <w:b/>
          <w:bCs/>
          <w:color w:val="000000"/>
          <w:lang w:val="en-US" w:eastAsia="zh-CN"/>
        </w:rPr>
        <w:t>Option 2: DCI based solution.</w:t>
      </w:r>
      <w:r>
        <w:rPr>
          <w:rFonts w:eastAsiaTheme="minorEastAsia"/>
          <w:color w:val="000000"/>
          <w:lang w:val="en-US" w:eastAsia="zh-CN"/>
        </w:rPr>
        <w:t xml:space="preserve"> </w:t>
      </w:r>
      <w:r>
        <w:rPr>
          <w:rFonts w:hint="eastAsia" w:eastAsiaTheme="minorEastAsia"/>
          <w:color w:val="000000"/>
          <w:lang w:val="en-US" w:eastAsia="zh-CN"/>
        </w:rPr>
        <w:t xml:space="preserve">This is to use a DCI including the ACK bit for a certain UL transmission. </w:t>
      </w:r>
      <w:r>
        <w:rPr>
          <w:rFonts w:eastAsiaTheme="minorEastAsia"/>
          <w:color w:val="000000"/>
          <w:lang w:val="en-US" w:eastAsia="zh-CN"/>
        </w:rPr>
        <w:t xml:space="preserve">Specifically, a group DCI or UE-specific DCI are proposed in this camp. </w:t>
      </w:r>
      <w:r>
        <w:rPr>
          <w:rFonts w:hint="eastAsia" w:eastAsiaTheme="minorEastAsia"/>
          <w:color w:val="000000"/>
          <w:lang w:val="en-US" w:eastAsia="zh-CN"/>
        </w:rPr>
        <w:t>Note that, if the number of information bits in a DCI format is less than 12 bits, zero</w:t>
      </w:r>
      <w:r>
        <w:rPr>
          <w:rFonts w:eastAsiaTheme="minorEastAsia"/>
          <w:color w:val="000000"/>
          <w:lang w:val="en-US" w:eastAsia="zh-CN"/>
        </w:rPr>
        <w:t>e</w:t>
      </w:r>
      <w:r>
        <w:rPr>
          <w:rFonts w:hint="eastAsia" w:eastAsiaTheme="minorEastAsia"/>
          <w:color w:val="000000"/>
          <w:lang w:val="en-US" w:eastAsia="zh-CN"/>
        </w:rPr>
        <w:t xml:space="preserve">s shall be appended to the DCI format until the payload size equals 12 based on current specification. </w:t>
      </w:r>
    </w:p>
    <w:p>
      <w:pPr>
        <w:snapToGrid w:val="0"/>
        <w:spacing w:afterLines="50" w:line="240" w:lineRule="auto"/>
        <w:textAlignment w:val="center"/>
        <w:rPr>
          <w:rFonts w:eastAsiaTheme="minorEastAsia"/>
          <w:color w:val="000000"/>
          <w:lang w:val="en-US" w:eastAsia="zh-CN"/>
        </w:rPr>
      </w:pPr>
      <w:r>
        <w:rPr>
          <w:rFonts w:hint="eastAsia" w:eastAsiaTheme="minorEastAsia"/>
          <w:color w:val="000000"/>
          <w:lang w:val="en-US" w:eastAsia="zh-CN"/>
        </w:rPr>
        <w:t xml:space="preserve">In our contribution[10], </w:t>
      </w:r>
      <w:r>
        <w:rPr>
          <w:rFonts w:eastAsiaTheme="minorEastAsia"/>
          <w:color w:val="000000"/>
          <w:lang w:val="en-US" w:eastAsia="zh-CN"/>
        </w:rPr>
        <w:t>a preliminary</w:t>
      </w:r>
      <w:r>
        <w:rPr>
          <w:rFonts w:hint="eastAsia" w:eastAsiaTheme="minorEastAsia"/>
          <w:color w:val="000000"/>
          <w:lang w:val="en-US" w:eastAsia="zh-CN"/>
        </w:rPr>
        <w:t xml:space="preserve"> comparison was given. The following observations were obtained under assumption of </w:t>
      </w:r>
      <w:r>
        <w:rPr>
          <w:rFonts w:eastAsiaTheme="minorEastAsia"/>
          <w:color w:val="000000"/>
          <w:lang w:val="en-US" w:eastAsia="zh-CN"/>
        </w:rPr>
        <w:t>the same amount of CCEs</w:t>
      </w:r>
      <w:r>
        <w:rPr>
          <w:rFonts w:hint="eastAsia" w:eastAsiaTheme="minorEastAsia"/>
          <w:color w:val="000000"/>
          <w:lang w:val="en-US" w:eastAsia="zh-CN"/>
        </w:rPr>
        <w:t xml:space="preserve"> (AL=8) and the same distributed CCE mapping structure in the time and frequency domain for both options.</w:t>
      </w:r>
    </w:p>
    <w:p>
      <w:pPr>
        <w:pStyle w:val="102"/>
        <w:numPr>
          <w:ilvl w:val="1"/>
          <w:numId w:val="5"/>
        </w:numPr>
        <w:snapToGrid w:val="0"/>
        <w:spacing w:afterLines="50" w:line="240" w:lineRule="auto"/>
        <w:ind w:firstLineChars="0"/>
        <w:rPr>
          <w:b/>
          <w:i/>
          <w:lang w:val="en-US"/>
        </w:rPr>
      </w:pPr>
      <w:r>
        <w:rPr>
          <w:rFonts w:hint="eastAsia" w:eastAsiaTheme="minorEastAsia"/>
          <w:color w:val="000000"/>
          <w:lang w:val="en-US" w:eastAsia="zh-CN"/>
        </w:rPr>
        <w:t xml:space="preserve">For sequence based solution, coherent detection could be also used and the performance of coherent detection is better than non-coherent detection. This is mainly due to distributed mapping is applied in the simulation, and non-coherent detection can only be accumulated per REG, which degrades the performance. Furthermore, </w:t>
      </w:r>
      <w:r>
        <w:rPr>
          <w:rFonts w:eastAsiaTheme="minorEastAsia"/>
          <w:color w:val="000000"/>
          <w:lang w:val="en-US" w:eastAsia="zh-CN"/>
        </w:rPr>
        <w:t xml:space="preserve">sequence based scheme </w:t>
      </w:r>
      <w:r>
        <w:rPr>
          <w:rFonts w:hint="eastAsia" w:eastAsiaTheme="minorEastAsia"/>
          <w:color w:val="000000"/>
          <w:lang w:val="en-US" w:eastAsia="zh-CN"/>
        </w:rPr>
        <w:t>with power boost on DMRS (note, the total transmitted power is unchanged) provides about 1dB gain at BLER = 10</w:t>
      </w:r>
      <w:r>
        <w:rPr>
          <w:rFonts w:hint="eastAsia" w:eastAsiaTheme="minorEastAsia"/>
          <w:color w:val="000000"/>
          <w:vertAlign w:val="superscript"/>
          <w:lang w:val="en-US" w:eastAsia="zh-CN"/>
        </w:rPr>
        <w:t>-3</w:t>
      </w:r>
      <w:r>
        <w:rPr>
          <w:rFonts w:hint="eastAsia" w:eastAsiaTheme="minorEastAsia"/>
          <w:color w:val="000000"/>
          <w:lang w:val="en-US" w:eastAsia="zh-CN"/>
        </w:rPr>
        <w:t xml:space="preserve"> than the case without power boost on DMRS. The gap gets larger with the increase of SNR. </w:t>
      </w:r>
    </w:p>
    <w:p>
      <w:pPr>
        <w:pStyle w:val="102"/>
        <w:numPr>
          <w:ilvl w:val="1"/>
          <w:numId w:val="5"/>
        </w:numPr>
        <w:snapToGrid w:val="0"/>
        <w:spacing w:afterLines="50" w:line="240" w:lineRule="auto"/>
        <w:ind w:firstLineChars="0"/>
        <w:rPr>
          <w:b/>
          <w:i/>
          <w:lang w:val="en-US"/>
        </w:rPr>
      </w:pPr>
      <w:r>
        <w:rPr>
          <w:rFonts w:hint="eastAsia" w:eastAsiaTheme="minorEastAsia"/>
          <w:color w:val="000000"/>
          <w:lang w:val="en-US" w:eastAsia="zh-CN"/>
        </w:rPr>
        <w:t xml:space="preserve">For DCI based solution, the performance with power boost on DMRS is slightly worse than the case without power boost on DMRS. This is due to the information bits is relative large and more sensitive to the power reduction on information bits. </w:t>
      </w:r>
    </w:p>
    <w:p>
      <w:pPr>
        <w:pStyle w:val="102"/>
        <w:numPr>
          <w:ilvl w:val="1"/>
          <w:numId w:val="5"/>
        </w:numPr>
        <w:snapToGrid w:val="0"/>
        <w:spacing w:afterLines="50" w:line="240" w:lineRule="auto"/>
        <w:ind w:firstLineChars="0"/>
        <w:rPr>
          <w:rFonts w:eastAsiaTheme="minorEastAsia"/>
          <w:color w:val="000000"/>
          <w:lang w:val="en-US" w:eastAsia="zh-CN"/>
        </w:rPr>
      </w:pPr>
      <w:r>
        <w:rPr>
          <w:bCs/>
          <w:iCs/>
        </w:rPr>
        <w:t xml:space="preserve">Sequence based solution has </w:t>
      </w:r>
      <w:r>
        <w:rPr>
          <w:rFonts w:hint="eastAsia" w:eastAsia="宋体"/>
          <w:bCs/>
          <w:iCs/>
          <w:lang w:val="en-US" w:eastAsia="zh-CN"/>
        </w:rPr>
        <w:t xml:space="preserve">about </w:t>
      </w:r>
      <w:r>
        <w:rPr>
          <w:bCs/>
          <w:iCs/>
        </w:rPr>
        <w:t>4</w:t>
      </w:r>
      <w:r>
        <w:rPr>
          <w:rFonts w:hint="eastAsia" w:eastAsia="宋体"/>
          <w:bCs/>
          <w:iCs/>
          <w:lang w:val="en-US" w:eastAsia="zh-CN"/>
        </w:rPr>
        <w:t>~5</w:t>
      </w:r>
      <w:r>
        <w:rPr>
          <w:bCs/>
          <w:iCs/>
        </w:rPr>
        <w:t xml:space="preserve"> dB gain than DCI based solution</w:t>
      </w:r>
      <w:r>
        <w:rPr>
          <w:rFonts w:hint="eastAsia" w:eastAsia="宋体"/>
          <w:bCs/>
          <w:iCs/>
          <w:lang w:val="en-US" w:eastAsia="zh-CN"/>
        </w:rPr>
        <w:t>.</w:t>
      </w:r>
    </w:p>
    <w:p>
      <w:pPr>
        <w:pStyle w:val="102"/>
        <w:snapToGrid w:val="0"/>
        <w:spacing w:afterLines="50" w:line="240" w:lineRule="auto"/>
        <w:ind w:firstLine="0" w:firstLineChars="0"/>
        <w:rPr>
          <w:rFonts w:eastAsiaTheme="minorEastAsia"/>
          <w:color w:val="000000"/>
          <w:lang w:val="en-US" w:eastAsia="zh-CN"/>
        </w:rPr>
      </w:pPr>
      <w:r>
        <w:rPr>
          <w:rFonts w:hint="eastAsia" w:eastAsiaTheme="minorEastAsia"/>
          <w:color w:val="000000"/>
          <w:lang w:val="en-US" w:eastAsia="zh-CN"/>
        </w:rPr>
        <w:t>In Figure 1, we provide a more comprehensive comparison for above two options.</w:t>
      </w:r>
      <w:r>
        <w:rPr>
          <w:rFonts w:eastAsiaTheme="minorEastAsia"/>
          <w:color w:val="000000"/>
          <w:lang w:val="en-US" w:eastAsia="zh-CN"/>
        </w:rPr>
        <w:t xml:space="preserve"> It could be observed that, when using the same aggregation level, sequence based could provide </w:t>
      </w:r>
      <w:r>
        <w:rPr>
          <w:rFonts w:hint="eastAsia" w:eastAsiaTheme="minorEastAsia"/>
          <w:color w:val="000000"/>
          <w:lang w:val="en-US" w:eastAsia="zh-CN"/>
        </w:rPr>
        <w:t>3</w:t>
      </w:r>
      <w:r>
        <w:rPr>
          <w:rFonts w:eastAsiaTheme="minorEastAsia"/>
          <w:color w:val="000000"/>
          <w:lang w:val="en-US" w:eastAsia="zh-CN"/>
        </w:rPr>
        <w:t>~6 dB over DCI based solution for all aggregation level</w:t>
      </w:r>
      <w:r>
        <w:rPr>
          <w:rFonts w:hint="eastAsia" w:eastAsiaTheme="minorEastAsia"/>
          <w:color w:val="000000"/>
          <w:lang w:val="en-US" w:eastAsia="zh-CN"/>
        </w:rPr>
        <w:t>s</w:t>
      </w:r>
      <w:r>
        <w:rPr>
          <w:rFonts w:eastAsiaTheme="minorEastAsia"/>
          <w:color w:val="000000"/>
          <w:lang w:val="en-US" w:eastAsia="zh-CN"/>
        </w:rPr>
        <w:t xml:space="preserve"> 1</w:t>
      </w:r>
      <w:r>
        <w:rPr>
          <w:rFonts w:hint="eastAsia" w:eastAsiaTheme="minorEastAsia"/>
          <w:color w:val="000000"/>
          <w:lang w:val="en-US" w:eastAsia="zh-CN"/>
        </w:rPr>
        <w:t>,2,4,8,</w:t>
      </w:r>
      <w:r>
        <w:rPr>
          <w:rFonts w:eastAsiaTheme="minorEastAsia"/>
          <w:color w:val="000000"/>
          <w:lang w:val="en-US" w:eastAsia="zh-CN"/>
        </w:rPr>
        <w:t xml:space="preserve">16. </w:t>
      </w:r>
    </w:p>
    <w:p>
      <w:pPr>
        <w:snapToGrid w:val="0"/>
        <w:spacing w:afterLines="50"/>
        <w:jc w:val="center"/>
        <w:rPr>
          <w:rFonts w:eastAsiaTheme="minorEastAsia"/>
          <w:b/>
          <w:color w:val="000000"/>
          <w:sz w:val="21"/>
          <w:szCs w:val="22"/>
          <w:lang w:val="en-US" w:eastAsia="zh-CN"/>
        </w:rPr>
      </w:pPr>
      <w:r>
        <w:rPr>
          <w:lang w:val="en-US" w:eastAsia="zh-CN"/>
        </w:rPr>
        <w:drawing>
          <wp:inline distT="0" distB="0" distL="114300" distR="114300">
            <wp:extent cx="5934075" cy="3569335"/>
            <wp:effectExtent l="4445" t="4445" r="5080" b="7620"/>
            <wp:docPr id="4"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pPr>
        <w:snapToGrid w:val="0"/>
        <w:spacing w:afterLines="50"/>
        <w:jc w:val="center"/>
        <w:rPr>
          <w:rFonts w:eastAsiaTheme="minorEastAsia"/>
          <w:b/>
          <w:color w:val="000000"/>
          <w:sz w:val="21"/>
          <w:szCs w:val="22"/>
          <w:lang w:val="en-US" w:eastAsia="zh-CN"/>
        </w:rPr>
      </w:pPr>
      <w:r>
        <w:rPr>
          <w:rFonts w:eastAsiaTheme="minorEastAsia"/>
          <w:b/>
          <w:color w:val="000000"/>
          <w:sz w:val="21"/>
          <w:szCs w:val="22"/>
          <w:lang w:val="en-US" w:eastAsia="zh-CN"/>
        </w:rPr>
        <w:t xml:space="preserve">Figure </w:t>
      </w:r>
      <w:r>
        <w:rPr>
          <w:rFonts w:hint="eastAsia" w:eastAsiaTheme="minorEastAsia"/>
          <w:b/>
          <w:color w:val="000000"/>
          <w:sz w:val="21"/>
          <w:szCs w:val="22"/>
          <w:lang w:val="en-US" w:eastAsia="zh-CN"/>
        </w:rPr>
        <w:t>1</w:t>
      </w:r>
      <w:r>
        <w:rPr>
          <w:rFonts w:eastAsiaTheme="minorEastAsia"/>
          <w:b/>
          <w:color w:val="000000"/>
          <w:sz w:val="21"/>
          <w:szCs w:val="22"/>
          <w:lang w:val="en-US" w:eastAsia="zh-CN"/>
        </w:rPr>
        <w:t>.</w:t>
      </w:r>
      <w:r>
        <w:rPr>
          <w:rFonts w:eastAsiaTheme="minorEastAsia"/>
          <w:b/>
          <w:color w:val="000000"/>
          <w:szCs w:val="22"/>
          <w:lang w:val="en-US" w:eastAsia="zh-CN"/>
        </w:rPr>
        <w:t xml:space="preserve"> Performance of sequence based and DCI based solutions for explicit ACK indication </w:t>
      </w:r>
    </w:p>
    <w:p>
      <w:pPr>
        <w:snapToGrid w:val="0"/>
        <w:spacing w:afterLines="50" w:line="240" w:lineRule="auto"/>
        <w:rPr>
          <w:b/>
          <w:i/>
          <w:lang w:val="en-US"/>
        </w:rPr>
      </w:pPr>
      <w:r>
        <w:rPr>
          <w:b/>
          <w:i/>
        </w:rPr>
        <w:t xml:space="preserve">Observation </w:t>
      </w:r>
      <w:r>
        <w:rPr>
          <w:rFonts w:hint="eastAsia" w:eastAsia="宋体"/>
          <w:b/>
          <w:i/>
          <w:lang w:val="en-US" w:eastAsia="zh-CN"/>
        </w:rPr>
        <w:t>1</w:t>
      </w:r>
      <w:r>
        <w:rPr>
          <w:b/>
          <w:i/>
        </w:rPr>
        <w:t xml:space="preserve">: </w:t>
      </w:r>
      <w:r>
        <w:rPr>
          <w:b w:val="0"/>
          <w:bCs/>
          <w:i/>
          <w:iCs w:val="0"/>
        </w:rPr>
        <w:t xml:space="preserve">Sequence based solution has </w:t>
      </w:r>
      <w:r>
        <w:rPr>
          <w:rFonts w:hint="eastAsia" w:eastAsia="宋体"/>
          <w:b w:val="0"/>
          <w:bCs/>
          <w:i/>
          <w:iCs w:val="0"/>
          <w:lang w:val="en-US" w:eastAsia="zh-CN"/>
        </w:rPr>
        <w:t>about 3~</w:t>
      </w:r>
      <w:r>
        <w:rPr>
          <w:rFonts w:eastAsia="宋体"/>
          <w:b w:val="0"/>
          <w:bCs/>
          <w:i/>
          <w:iCs w:val="0"/>
          <w:lang w:val="en-US" w:eastAsia="zh-CN"/>
        </w:rPr>
        <w:t>6</w:t>
      </w:r>
      <w:r>
        <w:rPr>
          <w:b w:val="0"/>
          <w:bCs/>
          <w:i/>
          <w:iCs w:val="0"/>
        </w:rPr>
        <w:t xml:space="preserve"> dB gain than DCI based solution when the two solutions use the </w:t>
      </w:r>
      <w:r>
        <w:rPr>
          <w:rFonts w:eastAsiaTheme="minorEastAsia"/>
          <w:b w:val="0"/>
          <w:bCs/>
          <w:i/>
          <w:iCs w:val="0"/>
          <w:color w:val="000000"/>
          <w:szCs w:val="22"/>
          <w:lang w:val="en-US" w:eastAsia="zh-CN"/>
        </w:rPr>
        <w:t>same amount of CCEs</w:t>
      </w:r>
      <w:r>
        <w:rPr>
          <w:b w:val="0"/>
          <w:bCs/>
          <w:i/>
          <w:iCs w:val="0"/>
          <w:lang w:val="en-US"/>
        </w:rPr>
        <w:t>.</w:t>
      </w:r>
    </w:p>
    <w:p>
      <w:pPr>
        <w:snapToGrid w:val="0"/>
        <w:spacing w:afterLines="50" w:line="240" w:lineRule="auto"/>
        <w:rPr>
          <w:rFonts w:eastAsiaTheme="minorEastAsia"/>
          <w:lang w:eastAsia="zh-CN"/>
        </w:rPr>
      </w:pPr>
      <w:r>
        <w:rPr>
          <w:rFonts w:hint="eastAsia" w:eastAsiaTheme="minorEastAsia"/>
          <w:lang w:eastAsia="zh-CN"/>
        </w:rPr>
        <w:t>If the explicit ACK is signaled by UE specific signaling, it is clear sequence based solution provides better performance. For group DCI signaling, one benefit is more ACK information from different UEs</w:t>
      </w:r>
      <w:r>
        <w:rPr>
          <w:rFonts w:hint="eastAsia" w:eastAsiaTheme="minorEastAsia"/>
          <w:lang w:val="en-US" w:eastAsia="zh-CN"/>
        </w:rPr>
        <w:t xml:space="preserve"> or </w:t>
      </w:r>
      <w:r>
        <w:rPr>
          <w:rFonts w:hint="eastAsia" w:eastAsiaTheme="minorEastAsia"/>
          <w:lang w:eastAsia="zh-CN"/>
        </w:rPr>
        <w:t>different HARQ processes of the same UE could be grouped into one DCI. For instance, one DCI with 12bits could provide 4 UE</w:t>
      </w:r>
      <w:r>
        <w:rPr>
          <w:rFonts w:eastAsiaTheme="minorEastAsia"/>
          <w:lang w:eastAsia="zh-CN"/>
        </w:rPr>
        <w:t>’</w:t>
      </w:r>
      <w:r>
        <w:rPr>
          <w:rFonts w:hint="eastAsia" w:eastAsiaTheme="minorEastAsia"/>
          <w:lang w:eastAsia="zh-CN"/>
        </w:rPr>
        <w:t>s ACK with each UE of 3bits, while sequence based signaling with 3bits can only contain one UE</w:t>
      </w:r>
      <w:r>
        <w:rPr>
          <w:rFonts w:eastAsiaTheme="minorEastAsia"/>
          <w:lang w:eastAsia="zh-CN"/>
        </w:rPr>
        <w:t>’</w:t>
      </w:r>
      <w:r>
        <w:rPr>
          <w:rFonts w:hint="eastAsia" w:eastAsiaTheme="minorEastAsia"/>
          <w:lang w:eastAsia="zh-CN"/>
        </w:rPr>
        <w:t xml:space="preserve">s ACK information. However, we found </w:t>
      </w:r>
      <w:r>
        <w:rPr>
          <w:rFonts w:hint="eastAsia" w:eastAsiaTheme="minorEastAsia"/>
          <w:lang w:val="en-US" w:eastAsia="zh-CN"/>
        </w:rPr>
        <w:t xml:space="preserve">it </w:t>
      </w:r>
      <w:r>
        <w:rPr>
          <w:rFonts w:hint="eastAsia" w:eastAsiaTheme="minorEastAsia"/>
          <w:lang w:eastAsia="zh-CN"/>
        </w:rPr>
        <w:t>cannot group many UEs or HARQ processes</w:t>
      </w:r>
      <w:r>
        <w:rPr>
          <w:rFonts w:hint="eastAsia" w:eastAsiaTheme="minorEastAsia"/>
          <w:lang w:val="en-US" w:eastAsia="zh-CN"/>
        </w:rPr>
        <w:t xml:space="preserve"> of the same UE</w:t>
      </w:r>
      <w:r>
        <w:rPr>
          <w:rFonts w:hint="eastAsia" w:eastAsiaTheme="minorEastAsia"/>
          <w:lang w:eastAsia="zh-CN"/>
        </w:rPr>
        <w:t xml:space="preserve"> into one DCI</w:t>
      </w:r>
      <w:r>
        <w:rPr>
          <w:rFonts w:hint="eastAsia" w:eastAsiaTheme="minorEastAsia"/>
          <w:lang w:val="en-US" w:eastAsia="zh-CN"/>
        </w:rPr>
        <w:t xml:space="preserve"> for </w:t>
      </w:r>
      <w:r>
        <w:rPr>
          <w:rFonts w:hint="eastAsia" w:eastAsiaTheme="minorEastAsia"/>
          <w:lang w:eastAsia="zh-CN"/>
        </w:rPr>
        <w:t>most of scenarios we are discussing</w:t>
      </w:r>
      <w:r>
        <w:rPr>
          <w:rFonts w:hint="eastAsia" w:eastAsiaTheme="minorEastAsia"/>
          <w:lang w:val="en-US" w:eastAsia="zh-CN"/>
        </w:rPr>
        <w:t xml:space="preserve"> now</w:t>
      </w:r>
      <w:r>
        <w:rPr>
          <w:rFonts w:hint="eastAsia" w:eastAsiaTheme="minorEastAsia"/>
          <w:lang w:eastAsia="zh-CN"/>
        </w:rPr>
        <w:t xml:space="preserve">. Following are </w:t>
      </w:r>
      <w:r>
        <w:rPr>
          <w:rFonts w:hint="eastAsia" w:eastAsiaTheme="minorEastAsia"/>
          <w:lang w:val="en-US" w:eastAsia="zh-CN"/>
        </w:rPr>
        <w:t xml:space="preserve">just </w:t>
      </w:r>
      <w:r>
        <w:rPr>
          <w:rFonts w:hint="eastAsia" w:eastAsiaTheme="minorEastAsia"/>
          <w:lang w:eastAsia="zh-CN"/>
        </w:rPr>
        <w:t xml:space="preserve">two examples: </w:t>
      </w:r>
    </w:p>
    <w:p>
      <w:pPr>
        <w:numPr>
          <w:ilvl w:val="0"/>
          <w:numId w:val="6"/>
        </w:numPr>
        <w:snapToGrid w:val="0"/>
        <w:spacing w:afterLines="50" w:line="240" w:lineRule="auto"/>
        <w:ind w:left="840"/>
        <w:rPr>
          <w:rFonts w:eastAsiaTheme="minorEastAsia"/>
          <w:szCs w:val="21"/>
          <w:lang w:eastAsia="zh-CN"/>
        </w:rPr>
      </w:pPr>
      <w:r>
        <w:rPr>
          <w:rFonts w:hint="eastAsia" w:eastAsiaTheme="minorEastAsia"/>
          <w:szCs w:val="21"/>
          <w:lang w:eastAsia="zh-CN"/>
        </w:rPr>
        <w:t xml:space="preserve">R15 enable use case </w:t>
      </w:r>
      <w:r>
        <w:rPr>
          <w:rFonts w:hint="eastAsia" w:eastAsiaTheme="minorEastAsia"/>
          <w:szCs w:val="21"/>
          <w:lang w:val="en-US" w:eastAsia="zh-CN"/>
        </w:rPr>
        <w:t xml:space="preserve">1 </w:t>
      </w:r>
      <w:r>
        <w:rPr>
          <w:rFonts w:hint="eastAsia" w:eastAsiaTheme="minorEastAsia"/>
          <w:szCs w:val="21"/>
          <w:lang w:eastAsia="zh-CN"/>
        </w:rPr>
        <w:t>with periodic traffic model</w:t>
      </w:r>
      <w:r>
        <w:rPr>
          <w:rFonts w:hint="eastAsia" w:eastAsiaTheme="minorEastAsia"/>
          <w:szCs w:val="21"/>
          <w:lang w:val="en-US" w:eastAsia="zh-CN"/>
        </w:rPr>
        <w:t xml:space="preserve">. The data arrival rate is generally much larger than air interface delay of 1ms, e.g. 1/60s. Meanwhile the packet size is 32 bytes, relatively small and no need to split into more than one TBs within 1ms. It means it is very difficult to group different HARQ progresses of one UE into one DCI. In addition, the data from different UEs is randomly arrived during arrival interval. It is almost impossible to group different UEs into one DCI. </w:t>
      </w:r>
    </w:p>
    <w:p>
      <w:pPr>
        <w:numPr>
          <w:ilvl w:val="0"/>
          <w:numId w:val="6"/>
        </w:numPr>
        <w:snapToGrid w:val="0"/>
        <w:spacing w:afterLines="50" w:line="240" w:lineRule="auto"/>
        <w:ind w:left="840"/>
        <w:rPr>
          <w:rFonts w:eastAsiaTheme="minorEastAsia"/>
          <w:szCs w:val="21"/>
          <w:lang w:val="en-US" w:eastAsia="zh-CN"/>
        </w:rPr>
      </w:pPr>
      <w:r>
        <w:rPr>
          <w:rFonts w:hint="eastAsia" w:eastAsiaTheme="minorEastAsia"/>
          <w:szCs w:val="21"/>
          <w:lang w:val="en-US" w:eastAsia="zh-CN"/>
        </w:rPr>
        <w:t>Power distribution case 1 with FTP 3 with arrival interval 100 ms. An aperiodic traffic with a large interval will make it hard to group different UEs into one DCI. Similar to above case, the very limited air interface latency(2~3 ms) also makes hard to group different HARQ progresses of one UE into one DCI.</w:t>
      </w:r>
    </w:p>
    <w:p>
      <w:pPr>
        <w:snapToGrid w:val="0"/>
        <w:spacing w:afterLines="50" w:line="240" w:lineRule="auto"/>
        <w:rPr>
          <w:b/>
          <w:i/>
          <w:lang w:val="en-US"/>
        </w:rPr>
      </w:pPr>
      <w:r>
        <w:rPr>
          <w:b/>
          <w:i/>
        </w:rPr>
        <w:t xml:space="preserve">Observation </w:t>
      </w:r>
      <w:r>
        <w:rPr>
          <w:rFonts w:hint="eastAsia" w:eastAsia="宋体"/>
          <w:b/>
          <w:i/>
          <w:lang w:val="en-US" w:eastAsia="zh-CN"/>
        </w:rPr>
        <w:t>2</w:t>
      </w:r>
      <w:r>
        <w:rPr>
          <w:b/>
          <w:i/>
        </w:rPr>
        <w:t xml:space="preserve">: </w:t>
      </w:r>
      <w:r>
        <w:rPr>
          <w:rFonts w:hint="eastAsia" w:eastAsia="宋体"/>
          <w:b w:val="0"/>
          <w:bCs/>
          <w:i/>
          <w:lang w:val="en-US" w:eastAsia="zh-CN"/>
        </w:rPr>
        <w:t xml:space="preserve">It is very difficult to group different UEs or </w:t>
      </w:r>
      <w:r>
        <w:rPr>
          <w:rFonts w:hint="eastAsia" w:eastAsiaTheme="minorEastAsia"/>
          <w:b w:val="0"/>
          <w:bCs/>
          <w:i/>
          <w:szCs w:val="21"/>
          <w:lang w:val="en-US" w:eastAsia="zh-CN"/>
        </w:rPr>
        <w:t>different HARQ progresses of one UE into one DCI for many URLLC scenarios</w:t>
      </w:r>
      <w:r>
        <w:rPr>
          <w:b w:val="0"/>
          <w:bCs/>
          <w:i/>
          <w:lang w:val="en-US"/>
        </w:rPr>
        <w:t>.</w:t>
      </w:r>
    </w:p>
    <w:p>
      <w:pPr>
        <w:snapToGrid w:val="0"/>
        <w:spacing w:afterLines="50" w:line="240" w:lineRule="auto"/>
        <w:rPr>
          <w:b w:val="0"/>
          <w:bCs/>
          <w:i/>
        </w:rPr>
      </w:pPr>
      <w:r>
        <w:rPr>
          <w:b/>
          <w:i/>
        </w:rPr>
        <w:t xml:space="preserve">Proposal </w:t>
      </w:r>
      <w:r>
        <w:rPr>
          <w:rFonts w:hint="eastAsia" w:eastAsia="宋体"/>
          <w:b/>
          <w:i/>
          <w:lang w:val="en-US" w:eastAsia="zh-CN"/>
        </w:rPr>
        <w:t>2</w:t>
      </w:r>
      <w:r>
        <w:rPr>
          <w:b/>
          <w:i/>
        </w:rPr>
        <w:t xml:space="preserve">: </w:t>
      </w:r>
      <w:r>
        <w:rPr>
          <w:rFonts w:hint="eastAsia" w:eastAsia="宋体"/>
          <w:b w:val="0"/>
          <w:bCs/>
          <w:i/>
          <w:lang w:val="en-US" w:eastAsia="zh-CN"/>
        </w:rPr>
        <w:t xml:space="preserve">Support </w:t>
      </w:r>
      <w:r>
        <w:rPr>
          <w:b w:val="0"/>
          <w:bCs/>
          <w:i/>
        </w:rPr>
        <w:t xml:space="preserve">sequence based solution for </w:t>
      </w:r>
      <w:r>
        <w:rPr>
          <w:rFonts w:eastAsiaTheme="minorEastAsia"/>
          <w:b w:val="0"/>
          <w:bCs/>
          <w:i/>
          <w:color w:val="000000"/>
          <w:szCs w:val="22"/>
          <w:lang w:val="en-US" w:eastAsia="zh-CN"/>
        </w:rPr>
        <w:t>explicit ACK feedback for UL grant-free transmission.</w:t>
      </w:r>
    </w:p>
    <w:bookmarkEnd w:id="4"/>
    <w:p>
      <w:pPr>
        <w:pStyle w:val="3"/>
        <w:widowControl w:val="0"/>
        <w:numPr>
          <w:ilvl w:val="255"/>
          <w:numId w:val="0"/>
        </w:numPr>
        <w:overflowPunct/>
        <w:snapToGrid w:val="0"/>
        <w:spacing w:after="260"/>
        <w:jc w:val="left"/>
        <w:textAlignment w:val="auto"/>
        <w:rPr>
          <w:rFonts w:eastAsia="黑体"/>
          <w:b/>
          <w:bCs w:val="0"/>
          <w:iCs w:val="0"/>
          <w:sz w:val="24"/>
          <w:szCs w:val="24"/>
          <w:lang w:eastAsia="zh-CN"/>
        </w:rPr>
      </w:pPr>
      <w:r>
        <w:rPr>
          <w:rFonts w:eastAsia="黑体"/>
          <w:b/>
          <w:bCs w:val="0"/>
          <w:iCs w:val="0"/>
          <w:sz w:val="24"/>
          <w:szCs w:val="24"/>
          <w:lang w:eastAsia="zh-CN"/>
        </w:rPr>
        <w:t>2</w:t>
      </w:r>
      <w:r>
        <w:rPr>
          <w:rFonts w:hint="eastAsia" w:eastAsia="黑体"/>
          <w:b/>
          <w:bCs w:val="0"/>
          <w:iCs w:val="0"/>
          <w:sz w:val="24"/>
          <w:szCs w:val="24"/>
          <w:lang w:eastAsia="zh-CN"/>
        </w:rPr>
        <w:t>.</w:t>
      </w:r>
      <w:r>
        <w:rPr>
          <w:rFonts w:eastAsia="黑体"/>
          <w:b/>
          <w:bCs w:val="0"/>
          <w:iCs w:val="0"/>
          <w:sz w:val="24"/>
          <w:szCs w:val="24"/>
          <w:lang w:eastAsia="zh-CN"/>
        </w:rPr>
        <w:t>2</w:t>
      </w:r>
      <w:r>
        <w:rPr>
          <w:rFonts w:hint="eastAsia" w:eastAsia="黑体"/>
          <w:b/>
          <w:bCs w:val="0"/>
          <w:iCs w:val="0"/>
          <w:sz w:val="24"/>
          <w:szCs w:val="24"/>
          <w:lang w:eastAsia="zh-CN"/>
        </w:rPr>
        <w:t xml:space="preserve"> Timer for grant-free HARQ feedback </w:t>
      </w:r>
    </w:p>
    <w:p>
      <w:pPr>
        <w:snapToGrid w:val="0"/>
        <w:spacing w:afterLines="50" w:line="240" w:lineRule="auto"/>
        <w:contextualSpacing/>
        <w:rPr>
          <w:rFonts w:eastAsiaTheme="minorEastAsia"/>
          <w:color w:val="000000"/>
          <w:lang w:val="en-US" w:eastAsia="zh-CN"/>
        </w:rPr>
      </w:pPr>
      <w:r>
        <w:rPr>
          <w:rFonts w:eastAsiaTheme="minorEastAsia"/>
          <w:color w:val="000000"/>
          <w:lang w:val="en-US" w:eastAsia="zh-CN"/>
        </w:rPr>
        <w:t>With the explicit positive ACK, it is still possible for mis</w:t>
      </w:r>
      <w:r>
        <w:rPr>
          <w:rFonts w:hint="eastAsia" w:eastAsiaTheme="minorEastAsia"/>
          <w:color w:val="000000"/>
          <w:lang w:val="en-US" w:eastAsia="zh-CN"/>
        </w:rPr>
        <w:t xml:space="preserve">sing </w:t>
      </w:r>
      <w:r>
        <w:rPr>
          <w:rFonts w:eastAsiaTheme="minorEastAsia"/>
          <w:color w:val="000000"/>
          <w:lang w:val="en-US" w:eastAsia="zh-CN"/>
        </w:rPr>
        <w:t>detection of ACK. If the NACK is also undetected, UE would be possible considering the following:</w:t>
      </w:r>
    </w:p>
    <w:p>
      <w:pPr>
        <w:pStyle w:val="101"/>
        <w:numPr>
          <w:ilvl w:val="0"/>
          <w:numId w:val="7"/>
        </w:numPr>
        <w:snapToGrid w:val="0"/>
        <w:spacing w:afterLines="50" w:line="240" w:lineRule="auto"/>
        <w:rPr>
          <w:rFonts w:eastAsiaTheme="minorEastAsia"/>
          <w:color w:val="000000"/>
          <w:lang w:val="en-US" w:eastAsia="zh-CN"/>
        </w:rPr>
      </w:pPr>
      <w:r>
        <w:rPr>
          <w:rFonts w:eastAsiaTheme="minorEastAsia"/>
          <w:color w:val="000000"/>
          <w:lang w:val="en-US" w:eastAsia="zh-CN"/>
        </w:rPr>
        <w:t>gNB sent the ACK, but it is not detected by UE.</w:t>
      </w:r>
    </w:p>
    <w:p>
      <w:pPr>
        <w:pStyle w:val="101"/>
        <w:numPr>
          <w:ilvl w:val="0"/>
          <w:numId w:val="7"/>
        </w:numPr>
        <w:snapToGrid w:val="0"/>
        <w:spacing w:afterLines="50" w:line="240" w:lineRule="auto"/>
        <w:rPr>
          <w:rFonts w:eastAsiaTheme="minorEastAsia"/>
          <w:color w:val="000000"/>
          <w:lang w:val="en-US" w:eastAsia="zh-CN"/>
        </w:rPr>
      </w:pPr>
      <w:r>
        <w:rPr>
          <w:rFonts w:eastAsiaTheme="minorEastAsia"/>
          <w:color w:val="000000"/>
          <w:lang w:val="en-US" w:eastAsia="zh-CN"/>
        </w:rPr>
        <w:t xml:space="preserve">NACK </w:t>
      </w:r>
      <w:r>
        <w:rPr>
          <w:rFonts w:hint="eastAsia" w:eastAsiaTheme="minorEastAsia"/>
          <w:color w:val="000000"/>
          <w:lang w:val="en-US" w:eastAsia="zh-CN"/>
        </w:rPr>
        <w:t>(UL grant for re-transmission)</w:t>
      </w:r>
      <w:r>
        <w:rPr>
          <w:rFonts w:eastAsiaTheme="minorEastAsia"/>
          <w:color w:val="000000"/>
          <w:lang w:val="en-US" w:eastAsia="zh-CN"/>
        </w:rPr>
        <w:t xml:space="preserve"> is not detected by UE.</w:t>
      </w:r>
    </w:p>
    <w:p>
      <w:pPr>
        <w:pStyle w:val="101"/>
        <w:numPr>
          <w:ilvl w:val="0"/>
          <w:numId w:val="7"/>
        </w:numPr>
        <w:snapToGrid w:val="0"/>
        <w:spacing w:afterLines="50" w:line="240" w:lineRule="auto"/>
        <w:rPr>
          <w:rFonts w:eastAsiaTheme="minorEastAsia"/>
          <w:color w:val="000000"/>
          <w:lang w:val="en-US" w:eastAsia="zh-CN"/>
        </w:rPr>
      </w:pPr>
      <w:r>
        <w:rPr>
          <w:rFonts w:eastAsiaTheme="minorEastAsia"/>
          <w:color w:val="000000"/>
          <w:lang w:val="en-US" w:eastAsia="zh-CN"/>
        </w:rPr>
        <w:t>gNB did not detected the first PUSCH at all.</w:t>
      </w:r>
    </w:p>
    <w:p>
      <w:pPr>
        <w:snapToGrid w:val="0"/>
        <w:spacing w:afterLines="50" w:line="240" w:lineRule="auto"/>
        <w:rPr>
          <w:rFonts w:eastAsiaTheme="minorEastAsia"/>
          <w:color w:val="000000"/>
          <w:lang w:val="en-US" w:eastAsia="zh-CN"/>
        </w:rPr>
      </w:pPr>
      <w:r>
        <w:rPr>
          <w:rFonts w:eastAsiaTheme="minorEastAsia"/>
          <w:color w:val="000000"/>
          <w:lang w:val="en-US" w:eastAsia="zh-CN"/>
        </w:rPr>
        <w:t xml:space="preserve">When that happen, UE have to decide how to response. A timer is necessary for UE further response. The existing timer scheme can be extended for that. After time-out, UE </w:t>
      </w:r>
      <w:r>
        <w:rPr>
          <w:rFonts w:hint="eastAsia" w:eastAsiaTheme="minorEastAsia"/>
          <w:color w:val="000000"/>
          <w:lang w:val="en-US" w:eastAsia="zh-CN"/>
        </w:rPr>
        <w:t>could</w:t>
      </w:r>
      <w:r>
        <w:rPr>
          <w:rFonts w:eastAsiaTheme="minorEastAsia"/>
          <w:color w:val="000000"/>
          <w:lang w:val="en-US" w:eastAsia="zh-CN"/>
        </w:rPr>
        <w:t xml:space="preserve"> transmit a </w:t>
      </w:r>
      <w:r>
        <w:rPr>
          <w:rFonts w:hint="eastAsia" w:eastAsiaTheme="minorEastAsia"/>
          <w:color w:val="000000"/>
          <w:lang w:val="en-US" w:eastAsia="zh-CN"/>
        </w:rPr>
        <w:t xml:space="preserve">new grant-free PUSCH. It is up to UE to transmit a new TB or re-transmit the previous TB through this PUSCH. This will keep the </w:t>
      </w:r>
      <w:r>
        <w:rPr>
          <w:rFonts w:eastAsiaTheme="minorEastAsia"/>
          <w:color w:val="000000"/>
          <w:lang w:val="en-US" w:eastAsia="zh-CN"/>
        </w:rPr>
        <w:t>compatibility</w:t>
      </w:r>
      <w:r>
        <w:rPr>
          <w:rFonts w:hint="eastAsia" w:eastAsiaTheme="minorEastAsia"/>
          <w:color w:val="000000"/>
          <w:lang w:val="en-US" w:eastAsia="zh-CN"/>
        </w:rPr>
        <w:t xml:space="preserve"> to the original grant-free operation.</w:t>
      </w:r>
    </w:p>
    <w:p>
      <w:pPr>
        <w:snapToGrid w:val="0"/>
        <w:spacing w:before="180" w:beforeLines="50" w:afterLines="50" w:line="240" w:lineRule="auto"/>
        <w:rPr>
          <w:b w:val="0"/>
          <w:bCs/>
          <w:i/>
        </w:rPr>
      </w:pPr>
      <w:r>
        <w:rPr>
          <w:b/>
          <w:i/>
        </w:rPr>
        <w:t xml:space="preserve">Observation </w:t>
      </w:r>
      <w:r>
        <w:rPr>
          <w:rFonts w:hint="eastAsia" w:eastAsia="宋体"/>
          <w:b/>
          <w:i/>
          <w:lang w:val="en-US" w:eastAsia="zh-CN"/>
        </w:rPr>
        <w:t>3</w:t>
      </w:r>
      <w:r>
        <w:rPr>
          <w:b/>
          <w:i/>
        </w:rPr>
        <w:t xml:space="preserve">: </w:t>
      </w:r>
      <w:r>
        <w:rPr>
          <w:rFonts w:eastAsiaTheme="minorEastAsia"/>
          <w:b/>
          <w:i/>
          <w:color w:val="000000"/>
          <w:szCs w:val="22"/>
          <w:lang w:val="en-US" w:eastAsia="zh-CN"/>
        </w:rPr>
        <w:t xml:space="preserve"> </w:t>
      </w:r>
      <w:r>
        <w:rPr>
          <w:rFonts w:hint="eastAsia" w:eastAsiaTheme="minorEastAsia"/>
          <w:b w:val="0"/>
          <w:bCs/>
          <w:i/>
          <w:color w:val="000000"/>
          <w:szCs w:val="22"/>
          <w:lang w:val="en-US" w:eastAsia="zh-CN"/>
        </w:rPr>
        <w:t xml:space="preserve">The </w:t>
      </w:r>
      <w:r>
        <w:rPr>
          <w:rFonts w:eastAsiaTheme="minorEastAsia"/>
          <w:b w:val="0"/>
          <w:bCs/>
          <w:i/>
          <w:color w:val="000000"/>
          <w:szCs w:val="22"/>
          <w:lang w:val="en-US" w:eastAsia="zh-CN"/>
        </w:rPr>
        <w:t>existing</w:t>
      </w:r>
      <w:r>
        <w:rPr>
          <w:rFonts w:hint="eastAsia" w:eastAsiaTheme="minorEastAsia"/>
          <w:b w:val="0"/>
          <w:bCs/>
          <w:i/>
          <w:color w:val="000000"/>
          <w:szCs w:val="22"/>
          <w:lang w:val="en-US" w:eastAsia="zh-CN"/>
        </w:rPr>
        <w:t xml:space="preserve"> timer scheme </w:t>
      </w:r>
      <w:r>
        <w:rPr>
          <w:rFonts w:eastAsiaTheme="minorEastAsia"/>
          <w:b w:val="0"/>
          <w:bCs/>
          <w:i/>
          <w:color w:val="000000"/>
          <w:szCs w:val="22"/>
          <w:lang w:val="en-US" w:eastAsia="zh-CN"/>
        </w:rPr>
        <w:t>is still useful for mis</w:t>
      </w:r>
      <w:r>
        <w:rPr>
          <w:rFonts w:hint="eastAsia" w:eastAsiaTheme="minorEastAsia"/>
          <w:b w:val="0"/>
          <w:bCs/>
          <w:i/>
          <w:color w:val="000000"/>
          <w:szCs w:val="22"/>
          <w:lang w:val="en-US" w:eastAsia="zh-CN"/>
        </w:rPr>
        <w:t xml:space="preserve">sing </w:t>
      </w:r>
      <w:r>
        <w:rPr>
          <w:rFonts w:eastAsiaTheme="minorEastAsia"/>
          <w:b w:val="0"/>
          <w:bCs/>
          <w:i/>
          <w:color w:val="000000"/>
          <w:szCs w:val="22"/>
          <w:lang w:val="en-US" w:eastAsia="zh-CN"/>
        </w:rPr>
        <w:t xml:space="preserve">detection of </w:t>
      </w:r>
      <w:r>
        <w:rPr>
          <w:rFonts w:hint="eastAsia" w:eastAsiaTheme="minorEastAsia"/>
          <w:b w:val="0"/>
          <w:bCs/>
          <w:i/>
          <w:color w:val="000000"/>
          <w:szCs w:val="22"/>
          <w:lang w:val="en-US" w:eastAsia="zh-CN"/>
        </w:rPr>
        <w:t>HARQ-ACK feedback</w:t>
      </w:r>
      <w:r>
        <w:rPr>
          <w:rFonts w:eastAsiaTheme="minorEastAsia"/>
          <w:b w:val="0"/>
          <w:bCs/>
          <w:i/>
          <w:color w:val="000000"/>
          <w:szCs w:val="22"/>
          <w:lang w:val="en-US" w:eastAsia="zh-CN"/>
        </w:rPr>
        <w:t xml:space="preserve">. </w:t>
      </w:r>
    </w:p>
    <w:p>
      <w:pPr>
        <w:pStyle w:val="2"/>
        <w:numPr>
          <w:ilvl w:val="0"/>
          <w:numId w:val="3"/>
        </w:numPr>
        <w:pBdr>
          <w:top w:val="single" w:color="auto" w:sz="12" w:space="2"/>
        </w:pBdr>
        <w:snapToGrid w:val="0"/>
        <w:spacing w:beforeLines="0" w:after="180" w:afterLines="50"/>
        <w:rPr>
          <w:lang w:val="en-US"/>
        </w:rPr>
      </w:pPr>
      <w:r>
        <w:rPr>
          <w:rFonts w:hint="eastAsia"/>
          <w:lang w:val="en-US"/>
        </w:rPr>
        <w:t>Support of multiple active configured grant configurations.</w:t>
      </w:r>
    </w:p>
    <w:p>
      <w:pPr>
        <w:snapToGrid w:val="0"/>
        <w:spacing w:after="120" w:line="240" w:lineRule="auto"/>
        <w:rPr>
          <w:rFonts w:hint="default" w:ascii="Times New Roman" w:hAnsi="Times New Roman" w:eastAsia="宋体" w:cs="Times New Roman"/>
          <w:sz w:val="20"/>
          <w:szCs w:val="21"/>
          <w:lang w:val="en-US" w:eastAsia="zh-CN"/>
        </w:rPr>
      </w:pPr>
      <w:r>
        <w:t>There are two use cases of multiple configured grant configurations which was agreed in the last meeting</w:t>
      </w:r>
      <w:r>
        <w:rPr>
          <w:rFonts w:hint="eastAsia" w:eastAsia="宋体"/>
          <w:lang w:val="en-US" w:eastAsia="zh-CN"/>
        </w:rPr>
        <w:t>. U</w:t>
      </w:r>
      <w:r>
        <w:t>se case1 was to support multiple services for a UE,</w:t>
      </w:r>
      <w:r>
        <w:rPr>
          <w:rFonts w:hint="eastAsia" w:eastAsia="宋体"/>
          <w:lang w:val="en-US" w:eastAsia="zh-CN"/>
        </w:rPr>
        <w:t xml:space="preserve"> while</w:t>
      </w:r>
      <w:r>
        <w:t xml:space="preserve"> use case2 was to ensure the reliability and latency of the same service for a UE</w:t>
      </w:r>
      <w:r>
        <w:rPr>
          <w:rFonts w:hint="eastAsia" w:ascii="Times New Roman" w:hAnsi="Times New Roman" w:eastAsia="宋体" w:cs="Times New Roman"/>
          <w:sz w:val="20"/>
          <w:szCs w:val="21"/>
          <w:lang w:val="en-US" w:eastAsia="zh-CN"/>
        </w:rPr>
        <w:t xml:space="preserve">. Besides above two use cases, supporting </w:t>
      </w:r>
      <w:r>
        <w:rPr>
          <w:rFonts w:hint="eastAsia" w:ascii="Times New Roman" w:hAnsi="Times New Roman" w:eastAsia="宋体" w:cs="Times New Roman"/>
          <w:sz w:val="20"/>
          <w:szCs w:val="21"/>
          <w:lang w:val="en-GB" w:eastAsia="ja-JP"/>
        </w:rPr>
        <w:t>multiple</w:t>
      </w:r>
      <w:r>
        <w:rPr>
          <w:rFonts w:hint="eastAsia" w:ascii="Times New Roman" w:hAnsi="Times New Roman" w:eastAsia="宋体" w:cs="Times New Roman"/>
          <w:sz w:val="20"/>
          <w:szCs w:val="21"/>
          <w:lang w:val="en-US" w:eastAsia="zh-CN"/>
        </w:rPr>
        <w:t xml:space="preserve"> </w:t>
      </w:r>
      <w:r>
        <w:rPr>
          <w:rFonts w:hint="eastAsia" w:ascii="Times New Roman" w:hAnsi="Times New Roman" w:eastAsia="宋体" w:cs="Times New Roman"/>
          <w:sz w:val="20"/>
          <w:szCs w:val="21"/>
          <w:lang w:val="en-GB" w:eastAsia="ja-JP"/>
        </w:rPr>
        <w:t>configurations</w:t>
      </w:r>
      <w:r>
        <w:rPr>
          <w:rFonts w:hint="eastAsia" w:ascii="Times New Roman" w:hAnsi="Times New Roman" w:eastAsia="宋体" w:cs="Times New Roman"/>
          <w:sz w:val="20"/>
          <w:szCs w:val="21"/>
          <w:lang w:val="en-US" w:eastAsia="zh-CN"/>
        </w:rPr>
        <w:t xml:space="preserve"> can also provide the possibility of collision avoidance for inter-UE multiplexing. For instance, if one of the configurations collides with the resources of eMBB UEs, the URLLC UE can select a non-overlapping configuration, if any, for its uplink transmission to avoid the collision. More details are analyzed in our contribution [1</w:t>
      </w:r>
      <w:r>
        <w:rPr>
          <w:rFonts w:hint="eastAsia" w:eastAsia="宋体" w:cs="Times New Roman"/>
          <w:sz w:val="20"/>
          <w:szCs w:val="21"/>
          <w:lang w:val="en-US" w:eastAsia="zh-CN"/>
        </w:rPr>
        <w:t>1</w:t>
      </w:r>
      <w:r>
        <w:rPr>
          <w:rFonts w:hint="eastAsia" w:ascii="Times New Roman" w:hAnsi="Times New Roman" w:eastAsia="宋体" w:cs="Times New Roman"/>
          <w:sz w:val="20"/>
          <w:szCs w:val="21"/>
          <w:lang w:val="en-US" w:eastAsia="zh-CN"/>
        </w:rPr>
        <w:t xml:space="preserve">]. </w:t>
      </w:r>
    </w:p>
    <w:p>
      <w:pPr>
        <w:snapToGrid w:val="0"/>
        <w:spacing w:before="181" w:beforeLines="50" w:afterLines="50" w:line="240" w:lineRule="auto"/>
        <w:rPr>
          <w:rFonts w:hint="eastAsia" w:eastAsia="宋体"/>
          <w:b w:val="0"/>
          <w:bCs w:val="0"/>
          <w:i/>
          <w:iCs/>
          <w:color w:val="000000"/>
          <w:sz w:val="20"/>
          <w:szCs w:val="20"/>
          <w:lang w:val="en-US" w:eastAsia="zh-CN"/>
        </w:rPr>
      </w:pPr>
      <w:r>
        <w:rPr>
          <w:rFonts w:hint="eastAsia" w:eastAsiaTheme="minorEastAsia"/>
          <w:b/>
          <w:bCs/>
          <w:i/>
          <w:iCs/>
          <w:color w:val="000000"/>
          <w:sz w:val="20"/>
          <w:szCs w:val="20"/>
          <w:lang w:val="en-US" w:eastAsia="zh-CN"/>
        </w:rPr>
        <w:t xml:space="preserve">Observation 4: </w:t>
      </w:r>
      <w:r>
        <w:rPr>
          <w:rFonts w:hint="eastAsia" w:eastAsia="宋体"/>
          <w:b w:val="0"/>
          <w:bCs w:val="0"/>
          <w:i/>
          <w:iCs/>
          <w:sz w:val="20"/>
          <w:szCs w:val="20"/>
          <w:lang w:val="en-US" w:eastAsia="zh-CN"/>
        </w:rPr>
        <w:t xml:space="preserve">Supporting </w:t>
      </w:r>
      <w:r>
        <w:rPr>
          <w:rFonts w:hint="eastAsia" w:eastAsia="宋体"/>
          <w:b w:val="0"/>
          <w:bCs w:val="0"/>
          <w:i/>
          <w:iCs/>
          <w:sz w:val="20"/>
          <w:szCs w:val="21"/>
          <w:lang w:val="en-GB" w:eastAsia="ja-JP"/>
        </w:rPr>
        <w:t>multiple</w:t>
      </w:r>
      <w:r>
        <w:rPr>
          <w:rFonts w:hint="eastAsia" w:eastAsia="宋体"/>
          <w:b w:val="0"/>
          <w:bCs w:val="0"/>
          <w:i/>
          <w:iCs/>
          <w:sz w:val="20"/>
          <w:szCs w:val="21"/>
          <w:lang w:val="en-US" w:eastAsia="zh-CN"/>
        </w:rPr>
        <w:t xml:space="preserve"> </w:t>
      </w:r>
      <w:r>
        <w:rPr>
          <w:rFonts w:hint="eastAsia" w:eastAsia="宋体"/>
          <w:b w:val="0"/>
          <w:bCs w:val="0"/>
          <w:i/>
          <w:iCs/>
          <w:sz w:val="20"/>
          <w:szCs w:val="21"/>
          <w:lang w:val="en-GB" w:eastAsia="ja-JP"/>
        </w:rPr>
        <w:t>configurations</w:t>
      </w:r>
      <w:r>
        <w:rPr>
          <w:rFonts w:hint="eastAsia" w:eastAsia="宋体"/>
          <w:b w:val="0"/>
          <w:bCs w:val="0"/>
          <w:i/>
          <w:iCs/>
          <w:sz w:val="20"/>
          <w:szCs w:val="21"/>
          <w:lang w:val="en-US" w:eastAsia="zh-CN"/>
        </w:rPr>
        <w:t xml:space="preserve"> is also beneficial for inter-UE multiplexing. </w:t>
      </w:r>
    </w:p>
    <w:p>
      <w:pPr>
        <w:numPr>
          <w:ilvl w:val="0"/>
          <w:numId w:val="8"/>
        </w:numPr>
        <w:spacing w:after="0" w:line="240" w:lineRule="auto"/>
        <w:rPr>
          <w:b/>
          <w:bCs/>
          <w:lang w:eastAsia="zh-CN"/>
        </w:rPr>
      </w:pPr>
      <w:r>
        <w:rPr>
          <w:rFonts w:hint="eastAsia"/>
          <w:b/>
          <w:bCs/>
          <w:lang w:val="en-US" w:eastAsia="zh-CN"/>
        </w:rPr>
        <w:t>Common or separated parameters for each configurations</w:t>
      </w:r>
    </w:p>
    <w:p>
      <w:pPr>
        <w:snapToGrid w:val="0"/>
        <w:spacing w:afterLines="50" w:line="240" w:lineRule="auto"/>
        <w:rPr>
          <w:rFonts w:hint="eastAsia" w:eastAsia="宋体"/>
          <w:lang w:val="en-US" w:eastAsia="zh-CN"/>
        </w:rPr>
      </w:pPr>
      <w:r>
        <w:t>For use case 1, in general, different services have different QoS requirements, such as reliability and latency, at least the time</w:t>
      </w:r>
      <w:r>
        <w:rPr>
          <w:rFonts w:hint="eastAsia" w:eastAsia="宋体"/>
          <w:lang w:val="en-US" w:eastAsia="zh-CN"/>
        </w:rPr>
        <w:t xml:space="preserve"> and </w:t>
      </w:r>
      <w:r>
        <w:t>frequency resource</w:t>
      </w:r>
      <w:r>
        <w:rPr>
          <w:rFonts w:hint="eastAsia" w:eastAsia="宋体"/>
          <w:lang w:val="en-US" w:eastAsia="zh-CN"/>
        </w:rPr>
        <w:t>s</w:t>
      </w:r>
      <w:r>
        <w:rPr>
          <w:rFonts w:hint="eastAsia" w:eastAsiaTheme="minorEastAsia"/>
          <w:lang w:eastAsia="zh-CN"/>
        </w:rPr>
        <w:t>,</w:t>
      </w:r>
      <w:r>
        <w:rPr>
          <w:rFonts w:eastAsiaTheme="minorEastAsia"/>
          <w:lang w:eastAsia="zh-CN"/>
        </w:rPr>
        <w:t xml:space="preserve"> </w:t>
      </w:r>
      <w:r>
        <w:t xml:space="preserve">MCS </w:t>
      </w:r>
      <w:r>
        <w:rPr>
          <w:rFonts w:hint="eastAsia" w:eastAsia="宋体"/>
          <w:lang w:val="en-US" w:eastAsia="zh-CN"/>
        </w:rPr>
        <w:t>and</w:t>
      </w:r>
      <w:r>
        <w:t xml:space="preserve"> transmission periodicity should be configured independently for each configuration. For use case 2, we think </w:t>
      </w:r>
      <w:r>
        <w:rPr>
          <w:rFonts w:hint="eastAsia" w:eastAsia="宋体"/>
          <w:lang w:val="en-US" w:eastAsia="zh-CN"/>
        </w:rPr>
        <w:t xml:space="preserve">at least the </w:t>
      </w:r>
      <w:r>
        <w:t>start</w:t>
      </w:r>
      <w:r>
        <w:rPr>
          <w:rFonts w:hint="eastAsia" w:eastAsia="宋体"/>
          <w:lang w:val="en-US" w:eastAsia="zh-CN"/>
        </w:rPr>
        <w:t>ing</w:t>
      </w:r>
      <w:r>
        <w:t xml:space="preserve"> position</w:t>
      </w:r>
      <w:r>
        <w:rPr>
          <w:rFonts w:hint="eastAsia" w:eastAsia="宋体"/>
          <w:lang w:val="en-US" w:eastAsia="zh-CN"/>
        </w:rPr>
        <w:t>s</w:t>
      </w:r>
      <w:r>
        <w:t xml:space="preserve"> for </w:t>
      </w:r>
      <w:r>
        <w:rPr>
          <w:rFonts w:hint="eastAsia" w:eastAsia="宋体"/>
          <w:lang w:val="en-US" w:eastAsia="zh-CN"/>
        </w:rPr>
        <w:t xml:space="preserve">different configurations should be different to adjust for </w:t>
      </w:r>
      <w:r>
        <w:t xml:space="preserve">sporadic </w:t>
      </w:r>
      <w:r>
        <w:rPr>
          <w:rFonts w:hint="eastAsia" w:eastAsia="宋体"/>
          <w:lang w:val="en-US" w:eastAsia="zh-CN"/>
        </w:rPr>
        <w:t xml:space="preserve">URLLC </w:t>
      </w:r>
      <w:r>
        <w:t>traffic</w:t>
      </w:r>
      <w:r>
        <w:rPr>
          <w:rFonts w:hint="eastAsia" w:eastAsia="宋体"/>
          <w:lang w:val="en-US" w:eastAsia="zh-CN"/>
        </w:rPr>
        <w:t xml:space="preserve">. As for use case 3 for inter-UE multiplexing, at least the </w:t>
      </w:r>
      <w:r>
        <w:t xml:space="preserve">frequency </w:t>
      </w:r>
      <w:r>
        <w:rPr>
          <w:rFonts w:hint="eastAsia" w:eastAsia="宋体"/>
          <w:lang w:val="en-US" w:eastAsia="zh-CN"/>
        </w:rPr>
        <w:t xml:space="preserve">domain </w:t>
      </w:r>
      <w:r>
        <w:t>resource</w:t>
      </w:r>
      <w:r>
        <w:rPr>
          <w:rFonts w:hint="eastAsia" w:eastAsia="宋体"/>
          <w:lang w:val="en-US" w:eastAsia="zh-CN"/>
        </w:rPr>
        <w:t xml:space="preserve">s of different configurations should be different to provide more flexibility for collision avoidance. </w:t>
      </w:r>
    </w:p>
    <w:p>
      <w:pPr>
        <w:snapToGrid w:val="0"/>
        <w:spacing w:afterLines="50" w:line="240" w:lineRule="auto"/>
        <w:rPr>
          <w:rFonts w:hint="default" w:eastAsia="宋体"/>
          <w:b w:val="0"/>
          <w:bCs w:val="0"/>
          <w:i/>
          <w:iCs/>
          <w:szCs w:val="21"/>
          <w:lang w:val="en-US" w:eastAsia="zh-CN"/>
        </w:rPr>
      </w:pPr>
      <w:r>
        <w:rPr>
          <w:rFonts w:hint="eastAsia"/>
          <w:b/>
          <w:bCs/>
          <w:i/>
          <w:iCs/>
          <w:szCs w:val="21"/>
          <w:lang w:val="en-US" w:eastAsia="zh-CN"/>
        </w:rPr>
        <w:t xml:space="preserve">Proposal 3: </w:t>
      </w:r>
      <w:r>
        <w:rPr>
          <w:rFonts w:hint="eastAsia"/>
          <w:b w:val="0"/>
          <w:bCs w:val="0"/>
          <w:i/>
          <w:iCs/>
          <w:szCs w:val="21"/>
          <w:lang w:val="en-US" w:eastAsia="zh-CN"/>
        </w:rPr>
        <w:t xml:space="preserve">For </w:t>
      </w:r>
      <w:r>
        <w:rPr>
          <w:rFonts w:hint="eastAsia"/>
          <w:b w:val="0"/>
          <w:bCs w:val="0"/>
          <w:i/>
          <w:iCs/>
          <w:lang w:val="en-US" w:eastAsia="zh-CN"/>
        </w:rPr>
        <w:t xml:space="preserve">parameters of </w:t>
      </w:r>
      <w:r>
        <w:rPr>
          <w:b w:val="0"/>
          <w:bCs w:val="0"/>
          <w:i/>
          <w:iCs/>
        </w:rPr>
        <w:t>multiple configured grant configurations</w:t>
      </w:r>
      <w:r>
        <w:rPr>
          <w:rFonts w:hint="eastAsia" w:eastAsia="宋体"/>
          <w:b w:val="0"/>
          <w:bCs w:val="0"/>
          <w:i/>
          <w:iCs/>
          <w:lang w:val="en-US" w:eastAsia="zh-CN"/>
        </w:rPr>
        <w:t xml:space="preserve">, </w:t>
      </w:r>
    </w:p>
    <w:p>
      <w:pPr>
        <w:keepNext w:val="0"/>
        <w:keepLines w:val="0"/>
        <w:pageBreakBefore w:val="0"/>
        <w:widowControl/>
        <w:numPr>
          <w:ilvl w:val="0"/>
          <w:numId w:val="9"/>
        </w:numPr>
        <w:kinsoku/>
        <w:wordWrap/>
        <w:overflowPunct w:val="0"/>
        <w:topLinePunct w:val="0"/>
        <w:autoSpaceDE w:val="0"/>
        <w:autoSpaceDN w:val="0"/>
        <w:bidi w:val="0"/>
        <w:adjustRightInd w:val="0"/>
        <w:snapToGrid w:val="0"/>
        <w:spacing w:after="0" w:line="240" w:lineRule="auto"/>
        <w:ind w:left="839" w:leftChars="0" w:hanging="420" w:firstLineChars="0"/>
        <w:textAlignment w:val="baseline"/>
        <w:outlineLvl w:val="9"/>
        <w:rPr>
          <w:rFonts w:hint="eastAsia"/>
          <w:b w:val="0"/>
          <w:bCs w:val="0"/>
          <w:i/>
          <w:iCs/>
          <w:lang w:val="en-US" w:eastAsia="zh-CN"/>
        </w:rPr>
      </w:pPr>
      <w:r>
        <w:rPr>
          <w:b w:val="0"/>
          <w:bCs w:val="0"/>
          <w:i/>
          <w:iCs/>
          <w:lang w:val="en-US" w:eastAsia="zh-CN"/>
        </w:rPr>
        <w:t xml:space="preserve">parameters </w:t>
      </w:r>
      <w:r>
        <w:rPr>
          <w:rFonts w:hint="eastAsia"/>
          <w:b w:val="0"/>
          <w:bCs w:val="0"/>
          <w:i/>
          <w:iCs/>
          <w:lang w:val="en-US" w:eastAsia="zh-CN"/>
        </w:rPr>
        <w:t>are configured independently f</w:t>
      </w:r>
      <w:r>
        <w:rPr>
          <w:b w:val="0"/>
          <w:bCs w:val="0"/>
          <w:i/>
          <w:iCs/>
          <w:lang w:val="en-US" w:eastAsia="zh-CN"/>
        </w:rPr>
        <w:t>or</w:t>
      </w:r>
      <w:r>
        <w:rPr>
          <w:rFonts w:hint="eastAsia"/>
          <w:b w:val="0"/>
          <w:bCs w:val="0"/>
          <w:i/>
          <w:iCs/>
          <w:lang w:val="en-US" w:eastAsia="zh-CN"/>
        </w:rPr>
        <w:t xml:space="preserve"> supporting </w:t>
      </w:r>
      <w:r>
        <w:rPr>
          <w:rFonts w:hint="eastAsia" w:eastAsia="宋体"/>
          <w:b w:val="0"/>
          <w:bCs w:val="0"/>
          <w:i/>
          <w:iCs/>
          <w:szCs w:val="21"/>
          <w:lang w:val="en-US" w:eastAsia="zh-CN"/>
        </w:rPr>
        <w:t>different services/traffic type</w:t>
      </w:r>
      <w:r>
        <w:rPr>
          <w:rFonts w:hint="eastAsia"/>
          <w:b w:val="0"/>
          <w:bCs w:val="0"/>
          <w:i/>
          <w:iCs/>
          <w:lang w:val="en-US" w:eastAsia="zh-CN"/>
        </w:rPr>
        <w:t xml:space="preserve">, </w:t>
      </w:r>
    </w:p>
    <w:p>
      <w:pPr>
        <w:keepNext w:val="0"/>
        <w:keepLines w:val="0"/>
        <w:pageBreakBefore w:val="0"/>
        <w:widowControl/>
        <w:numPr>
          <w:ilvl w:val="0"/>
          <w:numId w:val="9"/>
        </w:numPr>
        <w:kinsoku/>
        <w:wordWrap/>
        <w:overflowPunct w:val="0"/>
        <w:topLinePunct w:val="0"/>
        <w:autoSpaceDE w:val="0"/>
        <w:autoSpaceDN w:val="0"/>
        <w:bidi w:val="0"/>
        <w:adjustRightInd w:val="0"/>
        <w:snapToGrid w:val="0"/>
        <w:spacing w:after="0" w:line="240" w:lineRule="auto"/>
        <w:ind w:left="839" w:leftChars="0" w:hanging="420" w:firstLineChars="0"/>
        <w:textAlignment w:val="baseline"/>
        <w:outlineLvl w:val="9"/>
        <w:rPr>
          <w:rFonts w:hint="eastAsia" w:eastAsia="宋体"/>
          <w:b w:val="0"/>
          <w:bCs w:val="0"/>
          <w:i/>
          <w:iCs/>
          <w:szCs w:val="21"/>
          <w:lang w:val="en-US" w:eastAsia="zh-CN"/>
        </w:rPr>
      </w:pPr>
      <w:r>
        <w:rPr>
          <w:rFonts w:hint="eastAsia" w:eastAsia="宋体"/>
          <w:b w:val="0"/>
          <w:bCs w:val="0"/>
          <w:i/>
          <w:iCs/>
          <w:lang w:val="en-US" w:eastAsia="zh-CN"/>
        </w:rPr>
        <w:t xml:space="preserve">at least the </w:t>
      </w:r>
      <w:r>
        <w:rPr>
          <w:b w:val="0"/>
          <w:bCs w:val="0"/>
          <w:i/>
          <w:iCs/>
        </w:rPr>
        <w:t>start</w:t>
      </w:r>
      <w:r>
        <w:rPr>
          <w:rFonts w:hint="eastAsia" w:eastAsia="宋体"/>
          <w:b w:val="0"/>
          <w:bCs w:val="0"/>
          <w:i/>
          <w:iCs/>
          <w:lang w:val="en-US" w:eastAsia="zh-CN"/>
        </w:rPr>
        <w:t>ing</w:t>
      </w:r>
      <w:r>
        <w:rPr>
          <w:b w:val="0"/>
          <w:bCs w:val="0"/>
          <w:i/>
          <w:iCs/>
        </w:rPr>
        <w:t xml:space="preserve"> position</w:t>
      </w:r>
      <w:r>
        <w:rPr>
          <w:rFonts w:hint="eastAsia" w:eastAsia="宋体"/>
          <w:b w:val="0"/>
          <w:bCs w:val="0"/>
          <w:i/>
          <w:iCs/>
          <w:lang w:val="en-US" w:eastAsia="zh-CN"/>
        </w:rPr>
        <w:t>s</w:t>
      </w:r>
      <w:r>
        <w:rPr>
          <w:b w:val="0"/>
          <w:bCs w:val="0"/>
          <w:i/>
          <w:iCs/>
        </w:rPr>
        <w:t xml:space="preserve"> for </w:t>
      </w:r>
      <w:r>
        <w:rPr>
          <w:rFonts w:hint="eastAsia" w:eastAsia="宋体"/>
          <w:b w:val="0"/>
          <w:bCs w:val="0"/>
          <w:i/>
          <w:iCs/>
          <w:lang w:val="en-US" w:eastAsia="zh-CN"/>
        </w:rPr>
        <w:t xml:space="preserve">different configurations should be different </w:t>
      </w:r>
      <w:r>
        <w:rPr>
          <w:rFonts w:hint="eastAsia"/>
          <w:b w:val="0"/>
          <w:bCs w:val="0"/>
          <w:i/>
          <w:iCs/>
          <w:lang w:val="en-US" w:eastAsia="zh-CN"/>
        </w:rPr>
        <w:t>f</w:t>
      </w:r>
      <w:r>
        <w:rPr>
          <w:b w:val="0"/>
          <w:bCs w:val="0"/>
          <w:i/>
          <w:iCs/>
          <w:lang w:val="en-US" w:eastAsia="zh-CN"/>
        </w:rPr>
        <w:t>or</w:t>
      </w:r>
      <w:r>
        <w:rPr>
          <w:rFonts w:hint="eastAsia"/>
          <w:b w:val="0"/>
          <w:bCs w:val="0"/>
          <w:i/>
          <w:iCs/>
          <w:lang w:val="en-US" w:eastAsia="zh-CN"/>
        </w:rPr>
        <w:t xml:space="preserve"> </w:t>
      </w:r>
      <w:r>
        <w:rPr>
          <w:rFonts w:hint="eastAsia" w:eastAsia="宋体"/>
          <w:b w:val="0"/>
          <w:bCs w:val="0"/>
          <w:i/>
          <w:iCs/>
          <w:szCs w:val="21"/>
          <w:lang w:val="en-US" w:eastAsia="zh-CN"/>
        </w:rPr>
        <w:t>enhancing reliability and reducing latency,</w:t>
      </w:r>
    </w:p>
    <w:p>
      <w:pPr>
        <w:keepNext w:val="0"/>
        <w:keepLines w:val="0"/>
        <w:pageBreakBefore w:val="0"/>
        <w:widowControl/>
        <w:numPr>
          <w:ilvl w:val="0"/>
          <w:numId w:val="9"/>
        </w:numPr>
        <w:kinsoku/>
        <w:wordWrap/>
        <w:overflowPunct w:val="0"/>
        <w:topLinePunct w:val="0"/>
        <w:autoSpaceDE w:val="0"/>
        <w:autoSpaceDN w:val="0"/>
        <w:bidi w:val="0"/>
        <w:adjustRightInd w:val="0"/>
        <w:snapToGrid w:val="0"/>
        <w:spacing w:after="0" w:line="240" w:lineRule="auto"/>
        <w:ind w:left="839" w:leftChars="0" w:hanging="420" w:firstLineChars="0"/>
        <w:textAlignment w:val="baseline"/>
        <w:outlineLvl w:val="9"/>
        <w:rPr>
          <w:rFonts w:hint="default" w:eastAsia="宋体"/>
          <w:b w:val="0"/>
          <w:bCs w:val="0"/>
          <w:i/>
          <w:iCs/>
          <w:lang w:val="en-US" w:eastAsia="zh-CN"/>
        </w:rPr>
      </w:pPr>
      <w:r>
        <w:rPr>
          <w:rFonts w:hint="eastAsia" w:eastAsia="宋体"/>
          <w:b w:val="0"/>
          <w:bCs w:val="0"/>
          <w:i/>
          <w:iCs/>
          <w:lang w:val="en-US" w:eastAsia="zh-CN"/>
        </w:rPr>
        <w:t xml:space="preserve">at least the </w:t>
      </w:r>
      <w:r>
        <w:rPr>
          <w:b w:val="0"/>
          <w:bCs w:val="0"/>
          <w:i/>
          <w:iCs/>
        </w:rPr>
        <w:t xml:space="preserve">frequency </w:t>
      </w:r>
      <w:r>
        <w:rPr>
          <w:rFonts w:hint="eastAsia" w:eastAsia="宋体"/>
          <w:b w:val="0"/>
          <w:bCs w:val="0"/>
          <w:i/>
          <w:iCs/>
          <w:lang w:val="en-US" w:eastAsia="zh-CN"/>
        </w:rPr>
        <w:t xml:space="preserve">domain </w:t>
      </w:r>
      <w:r>
        <w:rPr>
          <w:b w:val="0"/>
          <w:bCs w:val="0"/>
          <w:i/>
          <w:iCs/>
        </w:rPr>
        <w:t>resource</w:t>
      </w:r>
      <w:r>
        <w:rPr>
          <w:rFonts w:hint="eastAsia" w:eastAsia="宋体"/>
          <w:b w:val="0"/>
          <w:bCs w:val="0"/>
          <w:i/>
          <w:iCs/>
          <w:lang w:val="en-US" w:eastAsia="zh-CN"/>
        </w:rPr>
        <w:t>s</w:t>
      </w:r>
      <w:r>
        <w:rPr>
          <w:b w:val="0"/>
          <w:bCs w:val="0"/>
          <w:i/>
          <w:iCs/>
        </w:rPr>
        <w:t xml:space="preserve"> for </w:t>
      </w:r>
      <w:r>
        <w:rPr>
          <w:rFonts w:hint="eastAsia" w:eastAsia="宋体"/>
          <w:b w:val="0"/>
          <w:bCs w:val="0"/>
          <w:i/>
          <w:iCs/>
          <w:lang w:val="en-US" w:eastAsia="zh-CN"/>
        </w:rPr>
        <w:t xml:space="preserve">different configurations should be different for use case of </w:t>
      </w:r>
      <w:r>
        <w:rPr>
          <w:rFonts w:hint="eastAsia" w:eastAsia="宋体"/>
          <w:b w:val="0"/>
          <w:bCs w:val="0"/>
          <w:i/>
          <w:iCs/>
          <w:sz w:val="20"/>
          <w:szCs w:val="21"/>
          <w:lang w:val="en-US" w:eastAsia="zh-CN"/>
        </w:rPr>
        <w:t>inter-UE multiplexing.</w:t>
      </w:r>
    </w:p>
    <w:p>
      <w:pPr>
        <w:keepNext w:val="0"/>
        <w:keepLines w:val="0"/>
        <w:pageBreakBefore w:val="0"/>
        <w:widowControl/>
        <w:numPr>
          <w:ilvl w:val="0"/>
          <w:numId w:val="8"/>
        </w:numPr>
        <w:kinsoku/>
        <w:wordWrap/>
        <w:overflowPunct w:val="0"/>
        <w:topLinePunct w:val="0"/>
        <w:autoSpaceDE w:val="0"/>
        <w:autoSpaceDN w:val="0"/>
        <w:bidi w:val="0"/>
        <w:adjustRightInd w:val="0"/>
        <w:snapToGrid/>
        <w:spacing w:before="181" w:beforeLines="50" w:after="0" w:line="240" w:lineRule="auto"/>
        <w:ind w:left="420" w:hanging="420"/>
        <w:textAlignment w:val="baseline"/>
        <w:outlineLvl w:val="9"/>
        <w:rPr>
          <w:b/>
          <w:bCs/>
          <w:lang w:eastAsia="zh-CN"/>
        </w:rPr>
      </w:pPr>
      <w:r>
        <w:rPr>
          <w:rFonts w:hint="eastAsia"/>
          <w:b/>
          <w:bCs/>
          <w:lang w:val="en-US" w:eastAsia="zh-CN"/>
        </w:rPr>
        <w:t xml:space="preserve">Activation/deactivation </w:t>
      </w:r>
      <w:r>
        <w:rPr>
          <w:b/>
          <w:bCs/>
          <w:lang w:val="en-US" w:eastAsia="zh-CN"/>
        </w:rPr>
        <w:t xml:space="preserve">L1 </w:t>
      </w:r>
      <w:r>
        <w:rPr>
          <w:rFonts w:hint="eastAsia"/>
          <w:b/>
          <w:bCs/>
          <w:lang w:val="en-US" w:eastAsia="zh-CN"/>
        </w:rPr>
        <w:t>signaling</w:t>
      </w:r>
      <w:r>
        <w:rPr>
          <w:b/>
          <w:bCs/>
          <w:lang w:val="en-US" w:eastAsia="zh-CN"/>
        </w:rPr>
        <w:t xml:space="preserve"> for each configuration</w:t>
      </w:r>
    </w:p>
    <w:p>
      <w:pPr>
        <w:snapToGrid w:val="0"/>
        <w:spacing w:afterLines="50" w:line="240" w:lineRule="auto"/>
        <w:rPr>
          <w:rFonts w:eastAsia="宋体"/>
          <w:lang w:val="en-US" w:eastAsia="zh-CN"/>
        </w:rPr>
      </w:pPr>
      <w:r>
        <w:rPr>
          <w:rFonts w:hint="eastAsia" w:eastAsia="宋体"/>
          <w:lang w:val="en-US" w:eastAsia="zh-CN"/>
        </w:rPr>
        <w:t xml:space="preserve">For Type 2 configured grant configurations, we also need to consider whether the activation/deactivation of the configured grant configurations is by a common DCI or by separate DCI. </w:t>
      </w:r>
    </w:p>
    <w:p>
      <w:pPr>
        <w:snapToGrid w:val="0"/>
        <w:spacing w:afterLines="50" w:line="240" w:lineRule="auto"/>
        <w:rPr>
          <w:rFonts w:eastAsia="宋体"/>
          <w:lang w:val="en-US" w:eastAsia="zh-CN"/>
        </w:rPr>
      </w:pPr>
      <w:r>
        <w:rPr>
          <w:rFonts w:eastAsia="宋体"/>
          <w:lang w:val="en-US" w:eastAsia="zh-CN"/>
        </w:rPr>
        <w:t xml:space="preserve">For use case 1, each configuration has independent parameters due to different service requirement. Independent </w:t>
      </w:r>
      <w:r>
        <w:rPr>
          <w:rFonts w:hint="eastAsia" w:eastAsia="宋体"/>
          <w:lang w:val="en-US" w:eastAsia="zh-CN"/>
        </w:rPr>
        <w:t>DCI</w:t>
      </w:r>
      <w:r>
        <w:rPr>
          <w:rFonts w:eastAsia="宋体"/>
          <w:lang w:val="en-US" w:eastAsia="zh-CN"/>
        </w:rPr>
        <w:t xml:space="preserve"> signaling should be used to activate each configuration.</w:t>
      </w:r>
      <w:r>
        <w:rPr>
          <w:rFonts w:hint="eastAsia" w:eastAsia="宋体"/>
          <w:lang w:val="en-US" w:eastAsia="zh-CN"/>
        </w:rPr>
        <w:t xml:space="preserve"> Considering how to indicate the UE which configuration is activated or deactivated, several alternatives can be considered. One is to reuse the HARQ ID field as a configuration index, which is similar to LTE URLLC. The other is to use different RNTIs for different configurations. </w:t>
      </w:r>
    </w:p>
    <w:p>
      <w:pPr>
        <w:keepNext w:val="0"/>
        <w:keepLines w:val="0"/>
        <w:pageBreakBefore w:val="0"/>
        <w:widowControl/>
        <w:kinsoku/>
        <w:wordWrap/>
        <w:overflowPunct w:val="0"/>
        <w:topLinePunct w:val="0"/>
        <w:autoSpaceDE w:val="0"/>
        <w:autoSpaceDN w:val="0"/>
        <w:bidi w:val="0"/>
        <w:adjustRightInd w:val="0"/>
        <w:snapToGrid w:val="0"/>
        <w:spacing w:after="181" w:afterLines="50" w:line="240" w:lineRule="auto"/>
        <w:textAlignment w:val="baseline"/>
        <w:outlineLvl w:val="9"/>
        <w:rPr>
          <w:bCs/>
          <w:iCs/>
          <w:lang w:val="en-US" w:eastAsia="zh-CN"/>
        </w:rPr>
      </w:pPr>
      <w:r>
        <w:rPr>
          <w:rFonts w:eastAsia="宋体"/>
          <w:lang w:val="en-US" w:eastAsia="zh-CN"/>
        </w:rPr>
        <w:t>For use case 2</w:t>
      </w:r>
      <w:r>
        <w:rPr>
          <w:rFonts w:hint="eastAsia" w:eastAsia="宋体"/>
          <w:lang w:val="en-US" w:eastAsia="zh-CN"/>
        </w:rPr>
        <w:t>/3</w:t>
      </w:r>
      <w:r>
        <w:rPr>
          <w:rFonts w:eastAsia="宋体"/>
          <w:lang w:val="en-US" w:eastAsia="zh-CN"/>
        </w:rPr>
        <w:t xml:space="preserve">, </w:t>
      </w:r>
      <w:r>
        <w:rPr>
          <w:rFonts w:hint="eastAsia" w:eastAsia="宋体"/>
          <w:lang w:val="en-US" w:eastAsia="zh-CN"/>
        </w:rPr>
        <w:t>i</w:t>
      </w:r>
      <w:r>
        <w:rPr>
          <w:rFonts w:eastAsia="宋体"/>
          <w:lang w:val="en-US" w:eastAsia="zh-CN"/>
        </w:rPr>
        <w:t xml:space="preserve">ndependent DCI signaling to activate each configuration will cause too much indication redundancy due to </w:t>
      </w:r>
      <w:r>
        <w:rPr>
          <w:rFonts w:hint="eastAsia" w:eastAsia="宋体"/>
          <w:lang w:val="en-US" w:eastAsia="zh-CN"/>
        </w:rPr>
        <w:t xml:space="preserve">lots of </w:t>
      </w:r>
      <w:r>
        <w:rPr>
          <w:rFonts w:eastAsia="宋体"/>
          <w:lang w:val="en-US" w:eastAsia="zh-CN"/>
        </w:rPr>
        <w:t xml:space="preserve">common parameters </w:t>
      </w:r>
      <w:r>
        <w:rPr>
          <w:rFonts w:hint="eastAsia" w:eastAsia="宋体"/>
          <w:lang w:val="en-US" w:eastAsia="zh-CN"/>
        </w:rPr>
        <w:t>among</w:t>
      </w:r>
      <w:r>
        <w:rPr>
          <w:rFonts w:eastAsia="宋体"/>
          <w:lang w:val="en-US" w:eastAsia="zh-CN"/>
        </w:rPr>
        <w:t xml:space="preserve"> configuration</w:t>
      </w:r>
      <w:r>
        <w:rPr>
          <w:rFonts w:hint="eastAsia" w:eastAsia="宋体"/>
          <w:lang w:val="en-US" w:eastAsia="zh-CN"/>
        </w:rPr>
        <w:t>s</w:t>
      </w:r>
      <w:r>
        <w:rPr>
          <w:rFonts w:eastAsia="宋体"/>
          <w:lang w:val="en-US" w:eastAsia="zh-CN"/>
        </w:rPr>
        <w:t xml:space="preserve">. </w:t>
      </w:r>
      <w:r>
        <w:rPr>
          <w:rFonts w:hint="eastAsia" w:eastAsia="宋体"/>
          <w:lang w:val="en-US" w:eastAsia="zh-CN"/>
        </w:rPr>
        <w:t xml:space="preserve">For instance, if </w:t>
      </w:r>
      <w:r>
        <w:rPr>
          <w:rFonts w:eastAsia="宋体"/>
          <w:lang w:val="en-US" w:eastAsia="zh-CN"/>
        </w:rPr>
        <w:t xml:space="preserve">the maximum </w:t>
      </w:r>
      <w:r>
        <w:rPr>
          <w:rFonts w:hint="eastAsia" w:eastAsia="宋体"/>
          <w:lang w:val="en-US" w:eastAsia="zh-CN"/>
        </w:rPr>
        <w:t xml:space="preserve">number </w:t>
      </w:r>
      <w:r>
        <w:rPr>
          <w:rFonts w:eastAsia="宋体"/>
          <w:lang w:val="en-US" w:eastAsia="zh-CN"/>
        </w:rPr>
        <w:t xml:space="preserve">of </w:t>
      </w:r>
      <w:r>
        <w:rPr>
          <w:rFonts w:hint="eastAsia" w:eastAsia="宋体"/>
          <w:lang w:val="en-US" w:eastAsia="zh-CN"/>
        </w:rPr>
        <w:t xml:space="preserve">configurations </w:t>
      </w:r>
      <w:r>
        <w:rPr>
          <w:rFonts w:eastAsia="宋体"/>
          <w:lang w:val="en-US" w:eastAsia="zh-CN"/>
        </w:rPr>
        <w:t xml:space="preserve">is 8, gNB may need 8 DCI signaling to activate </w:t>
      </w:r>
      <w:r>
        <w:rPr>
          <w:rFonts w:hint="eastAsia" w:eastAsia="宋体"/>
          <w:lang w:val="en-US" w:eastAsia="zh-CN"/>
        </w:rPr>
        <w:t>all</w:t>
      </w:r>
      <w:r>
        <w:rPr>
          <w:rFonts w:eastAsia="宋体"/>
          <w:lang w:val="en-US" w:eastAsia="zh-CN"/>
        </w:rPr>
        <w:t xml:space="preserve"> configurations</w:t>
      </w:r>
      <w:r>
        <w:rPr>
          <w:rFonts w:hint="eastAsia" w:eastAsia="宋体"/>
          <w:lang w:val="en-US" w:eastAsia="zh-CN"/>
        </w:rPr>
        <w:t>, despite the fact that only the time or frequency domain resources are different</w:t>
      </w:r>
      <w:r>
        <w:rPr>
          <w:rFonts w:eastAsia="宋体"/>
          <w:lang w:val="en-US" w:eastAsia="zh-CN"/>
        </w:rPr>
        <w:t xml:space="preserve">. It will </w:t>
      </w:r>
      <w:r>
        <w:rPr>
          <w:rFonts w:hint="eastAsia" w:eastAsia="宋体"/>
          <w:lang w:val="en-US" w:eastAsia="zh-CN"/>
        </w:rPr>
        <w:t>increase the</w:t>
      </w:r>
      <w:r>
        <w:rPr>
          <w:rFonts w:eastAsia="宋体"/>
          <w:lang w:val="en-US" w:eastAsia="zh-CN"/>
        </w:rPr>
        <w:t xml:space="preserve"> probability of PDCCH blockage seriously. Moreover, to minimize the transmission align</w:t>
      </w:r>
      <w:r>
        <w:rPr>
          <w:rFonts w:hint="eastAsia" w:eastAsia="宋体"/>
          <w:lang w:val="en-US" w:eastAsia="zh-CN"/>
        </w:rPr>
        <w:t>ment</w:t>
      </w:r>
      <w:r>
        <w:rPr>
          <w:rFonts w:eastAsia="宋体"/>
          <w:lang w:val="en-US" w:eastAsia="zh-CN"/>
        </w:rPr>
        <w:t xml:space="preserve"> time, one feasible way is to activate multiple configure</w:t>
      </w:r>
      <w:r>
        <w:rPr>
          <w:rFonts w:hint="eastAsia" w:eastAsia="宋体"/>
          <w:lang w:val="en-US" w:eastAsia="zh-CN"/>
        </w:rPr>
        <w:t>d</w:t>
      </w:r>
      <w:r>
        <w:rPr>
          <w:rFonts w:eastAsia="宋体"/>
          <w:lang w:val="en-US" w:eastAsia="zh-CN"/>
        </w:rPr>
        <w:t xml:space="preserve"> grant configurations simultaneously</w:t>
      </w:r>
      <w:r>
        <w:rPr>
          <w:rFonts w:hint="eastAsia" w:eastAsia="宋体"/>
          <w:lang w:val="en-US" w:eastAsia="zh-CN"/>
        </w:rPr>
        <w:t xml:space="preserve">, e.g., by a </w:t>
      </w:r>
      <w:r>
        <w:rPr>
          <w:rFonts w:eastAsia="宋体"/>
          <w:lang w:val="en-US" w:eastAsia="zh-CN"/>
        </w:rPr>
        <w:t xml:space="preserve">common DCI. </w:t>
      </w:r>
      <w:r>
        <w:rPr>
          <w:rFonts w:hint="eastAsia" w:eastAsia="宋体"/>
          <w:lang w:val="en-US" w:eastAsia="zh-CN"/>
        </w:rPr>
        <w:t>Specifically, e</w:t>
      </w:r>
      <w:r>
        <w:rPr>
          <w:rFonts w:eastAsia="宋体"/>
          <w:lang w:val="en-US" w:eastAsia="zh-CN"/>
        </w:rPr>
        <w:t xml:space="preserve">.g. using a common DCI to activate all the configured grant configurations within a resource set simultaneously. </w:t>
      </w:r>
      <w:r>
        <w:rPr>
          <w:rFonts w:hint="eastAsia" w:eastAsia="宋体"/>
          <w:lang w:val="en-US" w:eastAsia="zh-CN"/>
        </w:rPr>
        <w:t xml:space="preserve">Here, the </w:t>
      </w:r>
      <w:r>
        <w:rPr>
          <w:rFonts w:eastAsia="宋体"/>
          <w:lang w:val="en-US" w:eastAsia="zh-CN"/>
        </w:rPr>
        <w:t>resource set include</w:t>
      </w:r>
      <w:r>
        <w:rPr>
          <w:rFonts w:hint="eastAsia" w:eastAsia="宋体"/>
          <w:lang w:val="en-US" w:eastAsia="zh-CN"/>
        </w:rPr>
        <w:t>s</w:t>
      </w:r>
      <w:r>
        <w:rPr>
          <w:rFonts w:eastAsia="宋体"/>
          <w:lang w:val="en-US" w:eastAsia="zh-CN"/>
        </w:rPr>
        <w:t xml:space="preserve"> multiple configured grant configurations</w:t>
      </w:r>
      <w:r>
        <w:rPr>
          <w:rFonts w:hint="eastAsia" w:eastAsia="宋体"/>
          <w:lang w:val="en-US" w:eastAsia="zh-CN"/>
        </w:rPr>
        <w:t xml:space="preserve"> and </w:t>
      </w:r>
      <w:r>
        <w:rPr>
          <w:rFonts w:eastAsia="宋体"/>
          <w:lang w:val="en-US" w:eastAsia="zh-CN"/>
        </w:rPr>
        <w:t xml:space="preserve">each configuration has common </w:t>
      </w:r>
      <w:r>
        <w:rPr>
          <w:bCs/>
          <w:iCs/>
          <w:lang w:val="en-US" w:eastAsia="zh-CN"/>
        </w:rPr>
        <w:t>parameters except</w:t>
      </w:r>
      <w:r>
        <w:rPr>
          <w:rFonts w:hint="eastAsia"/>
          <w:bCs/>
          <w:iCs/>
          <w:lang w:val="en-US" w:eastAsia="zh-CN"/>
        </w:rPr>
        <w:t xml:space="preserve"> for the </w:t>
      </w:r>
      <w:r>
        <w:rPr>
          <w:bCs/>
          <w:iCs/>
          <w:lang w:val="en-US" w:eastAsia="zh-CN"/>
        </w:rPr>
        <w:t>star</w:t>
      </w:r>
      <w:r>
        <w:rPr>
          <w:rFonts w:hint="eastAsia"/>
          <w:bCs/>
          <w:iCs/>
          <w:lang w:val="en-US" w:eastAsia="zh-CN"/>
        </w:rPr>
        <w:t>t</w:t>
      </w:r>
      <w:r>
        <w:rPr>
          <w:bCs/>
          <w:iCs/>
          <w:lang w:val="en-US" w:eastAsia="zh-CN"/>
        </w:rPr>
        <w:t>ing time</w:t>
      </w:r>
      <w:r>
        <w:rPr>
          <w:rFonts w:hint="eastAsia"/>
          <w:bCs/>
          <w:iCs/>
          <w:lang w:val="en-US" w:eastAsia="zh-CN"/>
        </w:rPr>
        <w:t xml:space="preserve"> or </w:t>
      </w:r>
      <w:r>
        <w:rPr>
          <w:bCs/>
          <w:iCs/>
          <w:lang w:val="en-US" w:eastAsia="zh-CN"/>
        </w:rPr>
        <w:t>frequency domain</w:t>
      </w:r>
      <w:r>
        <w:rPr>
          <w:rFonts w:hint="eastAsia"/>
          <w:bCs/>
          <w:iCs/>
          <w:lang w:val="en-US" w:eastAsia="zh-CN"/>
        </w:rPr>
        <w:t xml:space="preserve"> resources</w:t>
      </w:r>
      <w:r>
        <w:rPr>
          <w:bCs/>
          <w:iCs/>
          <w:lang w:val="en-US" w:eastAsia="zh-CN"/>
        </w:rPr>
        <w:t>.</w:t>
      </w:r>
    </w:p>
    <w:p>
      <w:pPr>
        <w:snapToGrid w:val="0"/>
        <w:spacing w:afterLines="50" w:line="240" w:lineRule="auto"/>
        <w:rPr>
          <w:rFonts w:hint="default" w:eastAsia="宋体"/>
          <w:b w:val="0"/>
          <w:bCs w:val="0"/>
          <w:i/>
          <w:iCs/>
          <w:szCs w:val="21"/>
          <w:lang w:val="en-US" w:eastAsia="zh-CN"/>
        </w:rPr>
      </w:pPr>
      <w:r>
        <w:rPr>
          <w:rFonts w:hint="eastAsia"/>
          <w:b/>
          <w:bCs/>
          <w:i/>
          <w:iCs/>
          <w:szCs w:val="21"/>
          <w:lang w:val="en-US" w:eastAsia="zh-CN"/>
        </w:rPr>
        <w:t xml:space="preserve">Proposal 4: </w:t>
      </w:r>
      <w:r>
        <w:rPr>
          <w:rFonts w:hint="eastAsia"/>
          <w:b w:val="0"/>
          <w:bCs w:val="0"/>
          <w:i/>
          <w:iCs/>
          <w:szCs w:val="21"/>
          <w:lang w:val="en-US" w:eastAsia="zh-CN"/>
        </w:rPr>
        <w:t xml:space="preserve">For </w:t>
      </w:r>
      <w:r>
        <w:rPr>
          <w:b w:val="0"/>
          <w:bCs w:val="0"/>
          <w:i/>
          <w:iCs/>
          <w:szCs w:val="21"/>
          <w:lang w:val="en-US" w:eastAsia="zh-CN"/>
        </w:rPr>
        <w:t>activat</w:t>
      </w:r>
      <w:r>
        <w:rPr>
          <w:rFonts w:hint="eastAsia"/>
          <w:b w:val="0"/>
          <w:bCs w:val="0"/>
          <w:i/>
          <w:iCs/>
          <w:szCs w:val="21"/>
          <w:lang w:val="en-US" w:eastAsia="zh-CN"/>
        </w:rPr>
        <w:t>ion</w:t>
      </w:r>
      <w:r>
        <w:rPr>
          <w:b w:val="0"/>
          <w:bCs w:val="0"/>
          <w:i/>
          <w:iCs/>
          <w:szCs w:val="21"/>
          <w:lang w:val="en-US" w:eastAsia="zh-CN"/>
        </w:rPr>
        <w:t>/deactivat</w:t>
      </w:r>
      <w:r>
        <w:rPr>
          <w:rFonts w:hint="eastAsia"/>
          <w:b w:val="0"/>
          <w:bCs w:val="0"/>
          <w:i/>
          <w:iCs/>
          <w:szCs w:val="21"/>
          <w:lang w:val="en-US" w:eastAsia="zh-CN"/>
        </w:rPr>
        <w:t>ion</w:t>
      </w:r>
      <w:r>
        <w:rPr>
          <w:b w:val="0"/>
          <w:bCs w:val="0"/>
          <w:i/>
          <w:iCs/>
          <w:szCs w:val="21"/>
          <w:lang w:val="en-US" w:eastAsia="zh-CN"/>
        </w:rPr>
        <w:t xml:space="preserve"> </w:t>
      </w:r>
      <w:r>
        <w:rPr>
          <w:rFonts w:hint="eastAsia"/>
          <w:b w:val="0"/>
          <w:bCs w:val="0"/>
          <w:i/>
          <w:iCs/>
          <w:lang w:val="en-US" w:eastAsia="zh-CN"/>
        </w:rPr>
        <w:t xml:space="preserve">of </w:t>
      </w:r>
      <w:r>
        <w:rPr>
          <w:b w:val="0"/>
          <w:bCs w:val="0"/>
          <w:i/>
          <w:iCs/>
        </w:rPr>
        <w:t>multiple configured grant configurations</w:t>
      </w:r>
      <w:r>
        <w:rPr>
          <w:rFonts w:hint="eastAsia" w:eastAsia="宋体"/>
          <w:b w:val="0"/>
          <w:bCs w:val="0"/>
          <w:i/>
          <w:iCs/>
          <w:lang w:val="en-US" w:eastAsia="zh-CN"/>
        </w:rPr>
        <w:t xml:space="preserve">, </w:t>
      </w:r>
    </w:p>
    <w:p>
      <w:pPr>
        <w:keepNext w:val="0"/>
        <w:keepLines w:val="0"/>
        <w:pageBreakBefore w:val="0"/>
        <w:widowControl/>
        <w:numPr>
          <w:ilvl w:val="0"/>
          <w:numId w:val="9"/>
        </w:numPr>
        <w:kinsoku/>
        <w:wordWrap/>
        <w:overflowPunct w:val="0"/>
        <w:topLinePunct w:val="0"/>
        <w:autoSpaceDE w:val="0"/>
        <w:autoSpaceDN w:val="0"/>
        <w:bidi w:val="0"/>
        <w:adjustRightInd w:val="0"/>
        <w:snapToGrid w:val="0"/>
        <w:spacing w:after="0" w:line="240" w:lineRule="auto"/>
        <w:ind w:left="839" w:leftChars="0" w:hanging="420" w:firstLineChars="0"/>
        <w:textAlignment w:val="baseline"/>
        <w:outlineLvl w:val="9"/>
        <w:rPr>
          <w:rFonts w:hint="eastAsia"/>
          <w:b w:val="0"/>
          <w:bCs w:val="0"/>
          <w:i/>
          <w:iCs/>
          <w:lang w:val="en-US" w:eastAsia="zh-CN"/>
        </w:rPr>
      </w:pPr>
      <w:r>
        <w:rPr>
          <w:rFonts w:hint="eastAsia"/>
          <w:b w:val="0"/>
          <w:bCs w:val="0"/>
          <w:i/>
          <w:iCs/>
          <w:szCs w:val="21"/>
          <w:lang w:val="en-US" w:eastAsia="zh-CN"/>
        </w:rPr>
        <w:t>u</w:t>
      </w:r>
      <w:r>
        <w:rPr>
          <w:b w:val="0"/>
          <w:bCs w:val="0"/>
          <w:i/>
          <w:iCs/>
          <w:szCs w:val="21"/>
          <w:lang w:val="en-US" w:eastAsia="zh-CN"/>
        </w:rPr>
        <w:t>sing independent DCI signaling to activate/deactivate each configuration</w:t>
      </w:r>
      <w:r>
        <w:rPr>
          <w:rFonts w:hint="eastAsia"/>
          <w:b w:val="0"/>
          <w:bCs w:val="0"/>
          <w:i/>
          <w:iCs/>
          <w:lang w:val="en-US" w:eastAsia="zh-CN"/>
        </w:rPr>
        <w:t xml:space="preserve"> f</w:t>
      </w:r>
      <w:r>
        <w:rPr>
          <w:b w:val="0"/>
          <w:bCs w:val="0"/>
          <w:i/>
          <w:iCs/>
          <w:lang w:val="en-US" w:eastAsia="zh-CN"/>
        </w:rPr>
        <w:t>or</w:t>
      </w:r>
      <w:r>
        <w:rPr>
          <w:rFonts w:hint="eastAsia"/>
          <w:b w:val="0"/>
          <w:bCs w:val="0"/>
          <w:i/>
          <w:iCs/>
          <w:lang w:val="en-US" w:eastAsia="zh-CN"/>
        </w:rPr>
        <w:t xml:space="preserve"> supporting </w:t>
      </w:r>
      <w:r>
        <w:rPr>
          <w:rFonts w:hint="eastAsia" w:eastAsia="宋体"/>
          <w:b w:val="0"/>
          <w:bCs w:val="0"/>
          <w:i/>
          <w:iCs/>
          <w:szCs w:val="21"/>
          <w:lang w:val="en-US" w:eastAsia="zh-CN"/>
        </w:rPr>
        <w:t>different services/traffic type,</w:t>
      </w:r>
    </w:p>
    <w:p>
      <w:pPr>
        <w:keepNext w:val="0"/>
        <w:keepLines w:val="0"/>
        <w:pageBreakBefore w:val="0"/>
        <w:widowControl/>
        <w:numPr>
          <w:ilvl w:val="0"/>
          <w:numId w:val="9"/>
        </w:numPr>
        <w:kinsoku/>
        <w:wordWrap/>
        <w:overflowPunct w:val="0"/>
        <w:topLinePunct w:val="0"/>
        <w:autoSpaceDE w:val="0"/>
        <w:autoSpaceDN w:val="0"/>
        <w:bidi w:val="0"/>
        <w:adjustRightInd w:val="0"/>
        <w:snapToGrid w:val="0"/>
        <w:spacing w:after="181" w:afterLines="50" w:line="240" w:lineRule="auto"/>
        <w:ind w:left="839" w:leftChars="0" w:hanging="420" w:firstLineChars="0"/>
        <w:textAlignment w:val="baseline"/>
        <w:outlineLvl w:val="9"/>
        <w:rPr>
          <w:rFonts w:hint="default" w:eastAsia="宋体"/>
          <w:b w:val="0"/>
          <w:bCs w:val="0"/>
          <w:i/>
          <w:iCs/>
          <w:lang w:val="en-US" w:eastAsia="zh-CN"/>
        </w:rPr>
      </w:pPr>
      <w:r>
        <w:rPr>
          <w:b w:val="0"/>
          <w:bCs w:val="0"/>
          <w:i/>
          <w:iCs/>
          <w:szCs w:val="21"/>
          <w:lang w:val="en-US" w:eastAsia="zh-CN"/>
        </w:rPr>
        <w:t xml:space="preserve">using a common DCI signaling to activate/deactivate </w:t>
      </w:r>
      <w:r>
        <w:rPr>
          <w:rFonts w:hint="eastAsia"/>
          <w:b w:val="0"/>
          <w:bCs w:val="0"/>
          <w:i/>
          <w:iCs/>
          <w:szCs w:val="21"/>
          <w:lang w:val="en-US" w:eastAsia="zh-CN"/>
        </w:rPr>
        <w:t xml:space="preserve">one or more </w:t>
      </w:r>
      <w:r>
        <w:rPr>
          <w:b w:val="0"/>
          <w:bCs w:val="0"/>
          <w:i/>
          <w:iCs/>
          <w:szCs w:val="21"/>
          <w:lang w:val="en-US" w:eastAsia="zh-CN"/>
        </w:rPr>
        <w:t>configuration</w:t>
      </w:r>
      <w:r>
        <w:rPr>
          <w:rFonts w:hint="eastAsia"/>
          <w:b w:val="0"/>
          <w:bCs w:val="0"/>
          <w:i/>
          <w:iCs/>
          <w:szCs w:val="21"/>
          <w:lang w:val="en-US" w:eastAsia="zh-CN"/>
        </w:rPr>
        <w:t>s</w:t>
      </w:r>
      <w:r>
        <w:rPr>
          <w:rFonts w:hint="eastAsia" w:eastAsia="宋体"/>
          <w:b w:val="0"/>
          <w:bCs w:val="0"/>
          <w:i/>
          <w:iCs/>
          <w:lang w:val="en-US" w:eastAsia="zh-CN"/>
        </w:rPr>
        <w:t xml:space="preserve"> </w:t>
      </w:r>
      <w:r>
        <w:rPr>
          <w:rFonts w:hint="eastAsia"/>
          <w:b w:val="0"/>
          <w:bCs w:val="0"/>
          <w:i/>
          <w:iCs/>
          <w:lang w:val="en-US" w:eastAsia="zh-CN"/>
        </w:rPr>
        <w:t>f</w:t>
      </w:r>
      <w:r>
        <w:rPr>
          <w:b w:val="0"/>
          <w:bCs w:val="0"/>
          <w:i/>
          <w:iCs/>
          <w:lang w:val="en-US" w:eastAsia="zh-CN"/>
        </w:rPr>
        <w:t>or</w:t>
      </w:r>
      <w:r>
        <w:rPr>
          <w:rFonts w:hint="eastAsia"/>
          <w:b w:val="0"/>
          <w:bCs w:val="0"/>
          <w:i/>
          <w:iCs/>
          <w:lang w:val="en-US" w:eastAsia="zh-CN"/>
        </w:rPr>
        <w:t xml:space="preserve"> </w:t>
      </w:r>
      <w:r>
        <w:rPr>
          <w:rFonts w:hint="eastAsia" w:eastAsia="宋体"/>
          <w:b w:val="0"/>
          <w:bCs w:val="0"/>
          <w:i/>
          <w:iCs/>
          <w:szCs w:val="21"/>
          <w:lang w:val="en-US" w:eastAsia="zh-CN"/>
        </w:rPr>
        <w:t xml:space="preserve">enhancing reliability and reducing latency, or </w:t>
      </w:r>
      <w:r>
        <w:rPr>
          <w:rFonts w:hint="eastAsia" w:eastAsia="宋体"/>
          <w:b w:val="0"/>
          <w:bCs w:val="0"/>
          <w:i/>
          <w:iCs/>
          <w:sz w:val="20"/>
          <w:szCs w:val="21"/>
          <w:lang w:val="en-US" w:eastAsia="zh-CN"/>
        </w:rPr>
        <w:t>inter-UE multiplexing.</w:t>
      </w:r>
    </w:p>
    <w:p>
      <w:pPr>
        <w:pStyle w:val="2"/>
        <w:numPr>
          <w:ilvl w:val="0"/>
          <w:numId w:val="3"/>
        </w:numPr>
        <w:pBdr>
          <w:top w:val="single" w:color="auto" w:sz="12" w:space="2"/>
        </w:pBdr>
        <w:snapToGrid w:val="0"/>
        <w:spacing w:beforeLines="0" w:after="180" w:afterLines="50"/>
      </w:pPr>
      <w:r>
        <w:rPr>
          <w:rFonts w:hint="eastAsia"/>
        </w:rPr>
        <w:t>Conclusion</w:t>
      </w:r>
    </w:p>
    <w:p>
      <w:pPr>
        <w:spacing w:after="120"/>
        <w:rPr>
          <w:rFonts w:eastAsia="宋体"/>
          <w:lang w:val="en-US" w:eastAsia="zh-CN"/>
        </w:rPr>
      </w:pPr>
      <w:r>
        <w:rPr>
          <w:rFonts w:hint="eastAsia" w:eastAsia="宋体"/>
          <w:lang w:val="en-US" w:eastAsia="zh-CN"/>
        </w:rPr>
        <w:t>According to the analysis given above, we have the following observations and proposals:</w:t>
      </w:r>
    </w:p>
    <w:p>
      <w:pPr>
        <w:snapToGrid w:val="0"/>
        <w:spacing w:afterLines="50" w:line="240" w:lineRule="auto"/>
        <w:rPr>
          <w:b w:val="0"/>
          <w:bCs/>
          <w:i/>
          <w:lang w:val="en-US"/>
        </w:rPr>
      </w:pPr>
      <w:r>
        <w:rPr>
          <w:b/>
          <w:i/>
        </w:rPr>
        <w:t xml:space="preserve">Observation </w:t>
      </w:r>
      <w:r>
        <w:rPr>
          <w:rFonts w:hint="eastAsia" w:eastAsia="宋体"/>
          <w:b/>
          <w:i/>
          <w:lang w:val="en-US" w:eastAsia="zh-CN"/>
        </w:rPr>
        <w:t>1</w:t>
      </w:r>
      <w:r>
        <w:rPr>
          <w:b/>
          <w:i/>
        </w:rPr>
        <w:t xml:space="preserve">: </w:t>
      </w:r>
      <w:r>
        <w:rPr>
          <w:b w:val="0"/>
          <w:bCs/>
          <w:i/>
        </w:rPr>
        <w:t xml:space="preserve">Sequence based solution has </w:t>
      </w:r>
      <w:r>
        <w:rPr>
          <w:rFonts w:hint="eastAsia" w:eastAsia="宋体"/>
          <w:b w:val="0"/>
          <w:bCs/>
          <w:i/>
          <w:lang w:val="en-US" w:eastAsia="zh-CN"/>
        </w:rPr>
        <w:t>about 3~</w:t>
      </w:r>
      <w:r>
        <w:rPr>
          <w:rFonts w:eastAsia="宋体"/>
          <w:b w:val="0"/>
          <w:bCs/>
          <w:i/>
          <w:lang w:val="en-US" w:eastAsia="zh-CN"/>
        </w:rPr>
        <w:t>6</w:t>
      </w:r>
      <w:r>
        <w:rPr>
          <w:b w:val="0"/>
          <w:bCs/>
          <w:i/>
        </w:rPr>
        <w:t xml:space="preserve"> dB gain than DCI based solution when the two solutions use the </w:t>
      </w:r>
      <w:r>
        <w:rPr>
          <w:rFonts w:eastAsiaTheme="minorEastAsia"/>
          <w:b w:val="0"/>
          <w:bCs/>
          <w:i/>
          <w:color w:val="000000"/>
          <w:szCs w:val="22"/>
          <w:lang w:val="en-US" w:eastAsia="zh-CN"/>
        </w:rPr>
        <w:t>same amount of CCEs</w:t>
      </w:r>
      <w:r>
        <w:rPr>
          <w:b w:val="0"/>
          <w:bCs/>
          <w:i/>
          <w:lang w:val="en-US"/>
        </w:rPr>
        <w:t>.</w:t>
      </w:r>
    </w:p>
    <w:p>
      <w:pPr>
        <w:snapToGrid w:val="0"/>
        <w:spacing w:afterLines="50" w:line="240" w:lineRule="auto"/>
        <w:rPr>
          <w:b/>
          <w:i/>
          <w:lang w:val="en-US"/>
        </w:rPr>
      </w:pPr>
      <w:r>
        <w:rPr>
          <w:b/>
          <w:i/>
        </w:rPr>
        <w:t xml:space="preserve">Observation </w:t>
      </w:r>
      <w:r>
        <w:rPr>
          <w:rFonts w:hint="eastAsia" w:eastAsia="宋体"/>
          <w:b/>
          <w:i/>
          <w:lang w:val="en-US" w:eastAsia="zh-CN"/>
        </w:rPr>
        <w:t>2</w:t>
      </w:r>
      <w:r>
        <w:rPr>
          <w:b/>
          <w:i/>
        </w:rPr>
        <w:t xml:space="preserve">: </w:t>
      </w:r>
      <w:r>
        <w:rPr>
          <w:rFonts w:hint="eastAsia" w:eastAsia="宋体"/>
          <w:b w:val="0"/>
          <w:bCs/>
          <w:i/>
          <w:lang w:val="en-US" w:eastAsia="zh-CN"/>
        </w:rPr>
        <w:t xml:space="preserve">It is very difficult to group different UEs or </w:t>
      </w:r>
      <w:r>
        <w:rPr>
          <w:rFonts w:hint="eastAsia" w:eastAsiaTheme="minorEastAsia"/>
          <w:b w:val="0"/>
          <w:bCs/>
          <w:i/>
          <w:szCs w:val="21"/>
          <w:lang w:val="en-US" w:eastAsia="zh-CN"/>
        </w:rPr>
        <w:t>different HARQ progresses of one UE into one DCI for many URLLC scenarios</w:t>
      </w:r>
      <w:r>
        <w:rPr>
          <w:b w:val="0"/>
          <w:bCs/>
          <w:i/>
          <w:lang w:val="en-US"/>
        </w:rPr>
        <w:t>.</w:t>
      </w:r>
    </w:p>
    <w:p>
      <w:pPr>
        <w:snapToGrid w:val="0"/>
        <w:spacing w:before="180" w:beforeLines="50" w:afterLines="50" w:line="240" w:lineRule="auto"/>
        <w:rPr>
          <w:b w:val="0"/>
          <w:bCs/>
          <w:i/>
        </w:rPr>
      </w:pPr>
      <w:r>
        <w:rPr>
          <w:b/>
          <w:i/>
        </w:rPr>
        <w:t xml:space="preserve">Observation </w:t>
      </w:r>
      <w:r>
        <w:rPr>
          <w:rFonts w:hint="eastAsia" w:eastAsia="宋体"/>
          <w:b/>
          <w:i/>
          <w:lang w:val="en-US" w:eastAsia="zh-CN"/>
        </w:rPr>
        <w:t>3</w:t>
      </w:r>
      <w:r>
        <w:rPr>
          <w:b/>
          <w:i/>
        </w:rPr>
        <w:t xml:space="preserve">: </w:t>
      </w:r>
      <w:r>
        <w:rPr>
          <w:rFonts w:eastAsiaTheme="minorEastAsia"/>
          <w:b/>
          <w:i/>
          <w:color w:val="000000"/>
          <w:szCs w:val="22"/>
          <w:lang w:val="en-US" w:eastAsia="zh-CN"/>
        </w:rPr>
        <w:t xml:space="preserve"> </w:t>
      </w:r>
      <w:r>
        <w:rPr>
          <w:rFonts w:hint="eastAsia" w:eastAsiaTheme="minorEastAsia"/>
          <w:b w:val="0"/>
          <w:bCs/>
          <w:i/>
          <w:color w:val="000000"/>
          <w:szCs w:val="22"/>
          <w:lang w:val="en-US" w:eastAsia="zh-CN"/>
        </w:rPr>
        <w:t xml:space="preserve">The </w:t>
      </w:r>
      <w:r>
        <w:rPr>
          <w:rFonts w:eastAsiaTheme="minorEastAsia"/>
          <w:b w:val="0"/>
          <w:bCs/>
          <w:i/>
          <w:color w:val="000000"/>
          <w:szCs w:val="22"/>
          <w:lang w:val="en-US" w:eastAsia="zh-CN"/>
        </w:rPr>
        <w:t>existing</w:t>
      </w:r>
      <w:r>
        <w:rPr>
          <w:rFonts w:hint="eastAsia" w:eastAsiaTheme="minorEastAsia"/>
          <w:b w:val="0"/>
          <w:bCs/>
          <w:i/>
          <w:color w:val="000000"/>
          <w:szCs w:val="22"/>
          <w:lang w:val="en-US" w:eastAsia="zh-CN"/>
        </w:rPr>
        <w:t xml:space="preserve"> timer scheme </w:t>
      </w:r>
      <w:r>
        <w:rPr>
          <w:rFonts w:eastAsiaTheme="minorEastAsia"/>
          <w:b w:val="0"/>
          <w:bCs/>
          <w:i/>
          <w:color w:val="000000"/>
          <w:szCs w:val="22"/>
          <w:lang w:val="en-US" w:eastAsia="zh-CN"/>
        </w:rPr>
        <w:t>is still useful for mis</w:t>
      </w:r>
      <w:r>
        <w:rPr>
          <w:rFonts w:hint="eastAsia" w:eastAsiaTheme="minorEastAsia"/>
          <w:b w:val="0"/>
          <w:bCs/>
          <w:i/>
          <w:color w:val="000000"/>
          <w:szCs w:val="22"/>
          <w:lang w:val="en-US" w:eastAsia="zh-CN"/>
        </w:rPr>
        <w:t xml:space="preserve">sing </w:t>
      </w:r>
      <w:r>
        <w:rPr>
          <w:rFonts w:eastAsiaTheme="minorEastAsia"/>
          <w:b w:val="0"/>
          <w:bCs/>
          <w:i/>
          <w:color w:val="000000"/>
          <w:szCs w:val="22"/>
          <w:lang w:val="en-US" w:eastAsia="zh-CN"/>
        </w:rPr>
        <w:t xml:space="preserve">detection of </w:t>
      </w:r>
      <w:r>
        <w:rPr>
          <w:rFonts w:hint="eastAsia" w:eastAsiaTheme="minorEastAsia"/>
          <w:b w:val="0"/>
          <w:bCs/>
          <w:i/>
          <w:color w:val="000000"/>
          <w:szCs w:val="22"/>
          <w:lang w:val="en-US" w:eastAsia="zh-CN"/>
        </w:rPr>
        <w:t>HARQ-ACK feedback</w:t>
      </w:r>
      <w:r>
        <w:rPr>
          <w:rFonts w:eastAsiaTheme="minorEastAsia"/>
          <w:b w:val="0"/>
          <w:bCs/>
          <w:i/>
          <w:color w:val="000000"/>
          <w:szCs w:val="22"/>
          <w:lang w:val="en-US" w:eastAsia="zh-CN"/>
        </w:rPr>
        <w:t xml:space="preserve">. </w:t>
      </w:r>
    </w:p>
    <w:p>
      <w:pPr>
        <w:snapToGrid w:val="0"/>
        <w:spacing w:before="181" w:beforeLines="50" w:afterLines="50" w:line="240" w:lineRule="auto"/>
        <w:rPr>
          <w:rFonts w:hint="eastAsia" w:eastAsia="宋体"/>
          <w:b w:val="0"/>
          <w:bCs w:val="0"/>
          <w:i/>
          <w:iCs/>
          <w:color w:val="000000"/>
          <w:sz w:val="20"/>
          <w:szCs w:val="20"/>
          <w:lang w:val="en-US" w:eastAsia="zh-CN"/>
        </w:rPr>
      </w:pPr>
      <w:r>
        <w:rPr>
          <w:rFonts w:hint="eastAsia" w:eastAsiaTheme="minorEastAsia"/>
          <w:b/>
          <w:bCs/>
          <w:i/>
          <w:iCs/>
          <w:color w:val="000000"/>
          <w:sz w:val="20"/>
          <w:szCs w:val="20"/>
          <w:lang w:val="en-US" w:eastAsia="zh-CN"/>
        </w:rPr>
        <w:t xml:space="preserve">Observation 4: </w:t>
      </w:r>
      <w:r>
        <w:rPr>
          <w:rFonts w:hint="eastAsia" w:eastAsia="宋体"/>
          <w:b w:val="0"/>
          <w:bCs w:val="0"/>
          <w:i/>
          <w:iCs/>
          <w:sz w:val="20"/>
          <w:szCs w:val="20"/>
          <w:lang w:val="en-US" w:eastAsia="zh-CN"/>
        </w:rPr>
        <w:t xml:space="preserve">Supporting </w:t>
      </w:r>
      <w:r>
        <w:rPr>
          <w:rFonts w:hint="eastAsia" w:eastAsia="宋体"/>
          <w:b w:val="0"/>
          <w:bCs w:val="0"/>
          <w:i/>
          <w:iCs/>
          <w:sz w:val="20"/>
          <w:szCs w:val="21"/>
          <w:lang w:val="en-GB" w:eastAsia="ja-JP"/>
        </w:rPr>
        <w:t>multiple</w:t>
      </w:r>
      <w:r>
        <w:rPr>
          <w:rFonts w:hint="eastAsia" w:eastAsia="宋体"/>
          <w:b w:val="0"/>
          <w:bCs w:val="0"/>
          <w:i/>
          <w:iCs/>
          <w:sz w:val="20"/>
          <w:szCs w:val="21"/>
          <w:lang w:val="en-US" w:eastAsia="zh-CN"/>
        </w:rPr>
        <w:t xml:space="preserve"> </w:t>
      </w:r>
      <w:r>
        <w:rPr>
          <w:rFonts w:hint="eastAsia" w:eastAsia="宋体"/>
          <w:b w:val="0"/>
          <w:bCs w:val="0"/>
          <w:i/>
          <w:iCs/>
          <w:sz w:val="20"/>
          <w:szCs w:val="21"/>
          <w:lang w:val="en-GB" w:eastAsia="ja-JP"/>
        </w:rPr>
        <w:t>configurations</w:t>
      </w:r>
      <w:r>
        <w:rPr>
          <w:rFonts w:hint="eastAsia" w:eastAsia="宋体"/>
          <w:b w:val="0"/>
          <w:bCs w:val="0"/>
          <w:i/>
          <w:iCs/>
          <w:sz w:val="20"/>
          <w:szCs w:val="21"/>
          <w:lang w:val="en-US" w:eastAsia="zh-CN"/>
        </w:rPr>
        <w:t xml:space="preserve"> is also beneficial for inter-UE multiplexing. </w:t>
      </w:r>
    </w:p>
    <w:p>
      <w:pPr>
        <w:widowControl w:val="0"/>
        <w:numPr>
          <w:ilvl w:val="255"/>
          <w:numId w:val="0"/>
        </w:numPr>
        <w:overflowPunct/>
        <w:snapToGrid w:val="0"/>
        <w:spacing w:afterLines="50" w:line="240" w:lineRule="auto"/>
        <w:jc w:val="left"/>
        <w:textAlignment w:val="auto"/>
        <w:rPr>
          <w:b w:val="0"/>
          <w:bCs w:val="0"/>
          <w:i/>
          <w:iCs/>
          <w:lang w:val="en-US" w:eastAsia="zh-CN"/>
        </w:rPr>
      </w:pPr>
      <w:r>
        <w:rPr>
          <w:b/>
          <w:bCs/>
          <w:i/>
          <w:iCs/>
        </w:rPr>
        <w:t xml:space="preserve">Proposal </w:t>
      </w:r>
      <w:r>
        <w:rPr>
          <w:rFonts w:hint="eastAsia"/>
          <w:b/>
          <w:bCs/>
          <w:i/>
          <w:iCs/>
          <w:lang w:val="en-US" w:eastAsia="zh-CN"/>
        </w:rPr>
        <w:t xml:space="preserve">1: </w:t>
      </w:r>
      <w:r>
        <w:rPr>
          <w:rFonts w:hint="eastAsia"/>
          <w:b w:val="0"/>
          <w:bCs w:val="0"/>
          <w:i/>
          <w:iCs/>
          <w:lang w:val="en-US" w:eastAsia="zh-CN"/>
        </w:rPr>
        <w:t>Explicit ACK should be introduced for UL grant-free transmission.</w:t>
      </w:r>
    </w:p>
    <w:p>
      <w:pPr>
        <w:snapToGrid w:val="0"/>
        <w:spacing w:afterLines="50" w:line="240" w:lineRule="auto"/>
        <w:rPr>
          <w:b w:val="0"/>
          <w:bCs/>
          <w:i/>
        </w:rPr>
      </w:pPr>
      <w:r>
        <w:rPr>
          <w:b/>
          <w:i/>
        </w:rPr>
        <w:t xml:space="preserve">Proposal </w:t>
      </w:r>
      <w:r>
        <w:rPr>
          <w:rFonts w:hint="eastAsia" w:eastAsia="宋体"/>
          <w:b/>
          <w:i/>
          <w:lang w:val="en-US" w:eastAsia="zh-CN"/>
        </w:rPr>
        <w:t>2</w:t>
      </w:r>
      <w:r>
        <w:rPr>
          <w:b/>
          <w:i/>
        </w:rPr>
        <w:t>:</w:t>
      </w:r>
      <w:r>
        <w:rPr>
          <w:b w:val="0"/>
          <w:bCs/>
          <w:i/>
        </w:rPr>
        <w:t xml:space="preserve"> </w:t>
      </w:r>
      <w:r>
        <w:rPr>
          <w:rFonts w:hint="eastAsia" w:eastAsia="宋体"/>
          <w:b w:val="0"/>
          <w:bCs/>
          <w:i/>
          <w:lang w:val="en-US" w:eastAsia="zh-CN"/>
        </w:rPr>
        <w:t xml:space="preserve">Support </w:t>
      </w:r>
      <w:r>
        <w:rPr>
          <w:b w:val="0"/>
          <w:bCs/>
          <w:i/>
        </w:rPr>
        <w:t xml:space="preserve">sequence based solution for </w:t>
      </w:r>
      <w:r>
        <w:rPr>
          <w:rFonts w:eastAsiaTheme="minorEastAsia"/>
          <w:b w:val="0"/>
          <w:bCs/>
          <w:i/>
          <w:color w:val="000000"/>
          <w:szCs w:val="22"/>
          <w:lang w:val="en-US" w:eastAsia="zh-CN"/>
        </w:rPr>
        <w:t>explicit ACK feedback for UL grant-free transmission.</w:t>
      </w:r>
    </w:p>
    <w:p>
      <w:pPr>
        <w:snapToGrid w:val="0"/>
        <w:spacing w:afterLines="50" w:line="240" w:lineRule="auto"/>
        <w:rPr>
          <w:rFonts w:hint="default" w:eastAsia="宋体"/>
          <w:b w:val="0"/>
          <w:bCs w:val="0"/>
          <w:i/>
          <w:iCs/>
          <w:szCs w:val="21"/>
          <w:lang w:val="en-US" w:eastAsia="zh-CN"/>
        </w:rPr>
      </w:pPr>
      <w:r>
        <w:rPr>
          <w:rFonts w:hint="eastAsia"/>
          <w:b/>
          <w:bCs/>
          <w:i/>
          <w:iCs/>
          <w:szCs w:val="21"/>
          <w:lang w:val="en-US" w:eastAsia="zh-CN"/>
        </w:rPr>
        <w:t xml:space="preserve">Proposal 3: </w:t>
      </w:r>
      <w:r>
        <w:rPr>
          <w:rFonts w:hint="eastAsia"/>
          <w:b w:val="0"/>
          <w:bCs w:val="0"/>
          <w:i/>
          <w:iCs/>
          <w:szCs w:val="21"/>
          <w:lang w:val="en-US" w:eastAsia="zh-CN"/>
        </w:rPr>
        <w:t xml:space="preserve">For </w:t>
      </w:r>
      <w:r>
        <w:rPr>
          <w:rFonts w:hint="eastAsia"/>
          <w:b w:val="0"/>
          <w:bCs w:val="0"/>
          <w:i/>
          <w:iCs/>
          <w:lang w:val="en-US" w:eastAsia="zh-CN"/>
        </w:rPr>
        <w:t xml:space="preserve">parameters of </w:t>
      </w:r>
      <w:r>
        <w:rPr>
          <w:b w:val="0"/>
          <w:bCs w:val="0"/>
          <w:i/>
          <w:iCs/>
        </w:rPr>
        <w:t>multiple configured grant configurations</w:t>
      </w:r>
      <w:r>
        <w:rPr>
          <w:rFonts w:hint="eastAsia" w:eastAsia="宋体"/>
          <w:b w:val="0"/>
          <w:bCs w:val="0"/>
          <w:i/>
          <w:iCs/>
          <w:lang w:val="en-US" w:eastAsia="zh-CN"/>
        </w:rPr>
        <w:t xml:space="preserve">, </w:t>
      </w:r>
    </w:p>
    <w:p>
      <w:pPr>
        <w:keepNext w:val="0"/>
        <w:keepLines w:val="0"/>
        <w:pageBreakBefore w:val="0"/>
        <w:widowControl/>
        <w:numPr>
          <w:ilvl w:val="0"/>
          <w:numId w:val="9"/>
        </w:numPr>
        <w:kinsoku/>
        <w:wordWrap/>
        <w:overflowPunct w:val="0"/>
        <w:topLinePunct w:val="0"/>
        <w:autoSpaceDE w:val="0"/>
        <w:autoSpaceDN w:val="0"/>
        <w:bidi w:val="0"/>
        <w:adjustRightInd w:val="0"/>
        <w:snapToGrid w:val="0"/>
        <w:spacing w:after="0" w:line="240" w:lineRule="auto"/>
        <w:ind w:left="839" w:leftChars="0" w:hanging="420" w:firstLineChars="0"/>
        <w:textAlignment w:val="baseline"/>
        <w:outlineLvl w:val="9"/>
        <w:rPr>
          <w:rFonts w:hint="eastAsia"/>
          <w:b w:val="0"/>
          <w:bCs w:val="0"/>
          <w:i/>
          <w:iCs/>
          <w:lang w:val="en-US" w:eastAsia="zh-CN"/>
        </w:rPr>
      </w:pPr>
      <w:r>
        <w:rPr>
          <w:b w:val="0"/>
          <w:bCs w:val="0"/>
          <w:i/>
          <w:iCs/>
          <w:lang w:val="en-US" w:eastAsia="zh-CN"/>
        </w:rPr>
        <w:t xml:space="preserve">parameters </w:t>
      </w:r>
      <w:r>
        <w:rPr>
          <w:rFonts w:hint="eastAsia"/>
          <w:b w:val="0"/>
          <w:bCs w:val="0"/>
          <w:i/>
          <w:iCs/>
          <w:lang w:val="en-US" w:eastAsia="zh-CN"/>
        </w:rPr>
        <w:t>are configured independently f</w:t>
      </w:r>
      <w:r>
        <w:rPr>
          <w:b w:val="0"/>
          <w:bCs w:val="0"/>
          <w:i/>
          <w:iCs/>
          <w:lang w:val="en-US" w:eastAsia="zh-CN"/>
        </w:rPr>
        <w:t>or</w:t>
      </w:r>
      <w:r>
        <w:rPr>
          <w:rFonts w:hint="eastAsia"/>
          <w:b w:val="0"/>
          <w:bCs w:val="0"/>
          <w:i/>
          <w:iCs/>
          <w:lang w:val="en-US" w:eastAsia="zh-CN"/>
        </w:rPr>
        <w:t xml:space="preserve"> supporting </w:t>
      </w:r>
      <w:r>
        <w:rPr>
          <w:rFonts w:hint="eastAsia" w:eastAsia="宋体"/>
          <w:b w:val="0"/>
          <w:bCs w:val="0"/>
          <w:i/>
          <w:iCs/>
          <w:szCs w:val="21"/>
          <w:lang w:val="en-US" w:eastAsia="zh-CN"/>
        </w:rPr>
        <w:t>different services/traffic type</w:t>
      </w:r>
      <w:r>
        <w:rPr>
          <w:rFonts w:hint="eastAsia"/>
          <w:b w:val="0"/>
          <w:bCs w:val="0"/>
          <w:i/>
          <w:iCs/>
          <w:lang w:val="en-US" w:eastAsia="zh-CN"/>
        </w:rPr>
        <w:t xml:space="preserve">, </w:t>
      </w:r>
    </w:p>
    <w:p>
      <w:pPr>
        <w:keepNext w:val="0"/>
        <w:keepLines w:val="0"/>
        <w:pageBreakBefore w:val="0"/>
        <w:widowControl/>
        <w:numPr>
          <w:ilvl w:val="0"/>
          <w:numId w:val="9"/>
        </w:numPr>
        <w:kinsoku/>
        <w:wordWrap/>
        <w:overflowPunct w:val="0"/>
        <w:topLinePunct w:val="0"/>
        <w:autoSpaceDE w:val="0"/>
        <w:autoSpaceDN w:val="0"/>
        <w:bidi w:val="0"/>
        <w:adjustRightInd w:val="0"/>
        <w:snapToGrid w:val="0"/>
        <w:spacing w:after="0" w:line="240" w:lineRule="auto"/>
        <w:ind w:left="839" w:leftChars="0" w:hanging="420" w:firstLineChars="0"/>
        <w:textAlignment w:val="baseline"/>
        <w:outlineLvl w:val="9"/>
        <w:rPr>
          <w:rFonts w:hint="eastAsia" w:eastAsia="宋体"/>
          <w:b w:val="0"/>
          <w:bCs w:val="0"/>
          <w:i/>
          <w:iCs/>
          <w:szCs w:val="21"/>
          <w:lang w:val="en-US" w:eastAsia="zh-CN"/>
        </w:rPr>
      </w:pPr>
      <w:r>
        <w:rPr>
          <w:rFonts w:hint="eastAsia" w:eastAsia="宋体"/>
          <w:b w:val="0"/>
          <w:bCs w:val="0"/>
          <w:i/>
          <w:iCs/>
          <w:lang w:val="en-US" w:eastAsia="zh-CN"/>
        </w:rPr>
        <w:t xml:space="preserve">at least the </w:t>
      </w:r>
      <w:r>
        <w:rPr>
          <w:b w:val="0"/>
          <w:bCs w:val="0"/>
          <w:i/>
          <w:iCs/>
        </w:rPr>
        <w:t>start</w:t>
      </w:r>
      <w:r>
        <w:rPr>
          <w:rFonts w:hint="eastAsia" w:eastAsia="宋体"/>
          <w:b w:val="0"/>
          <w:bCs w:val="0"/>
          <w:i/>
          <w:iCs/>
          <w:lang w:val="en-US" w:eastAsia="zh-CN"/>
        </w:rPr>
        <w:t>ing</w:t>
      </w:r>
      <w:r>
        <w:rPr>
          <w:b w:val="0"/>
          <w:bCs w:val="0"/>
          <w:i/>
          <w:iCs/>
        </w:rPr>
        <w:t xml:space="preserve"> position</w:t>
      </w:r>
      <w:r>
        <w:rPr>
          <w:rFonts w:hint="eastAsia" w:eastAsia="宋体"/>
          <w:b w:val="0"/>
          <w:bCs w:val="0"/>
          <w:i/>
          <w:iCs/>
          <w:lang w:val="en-US" w:eastAsia="zh-CN"/>
        </w:rPr>
        <w:t>s</w:t>
      </w:r>
      <w:r>
        <w:rPr>
          <w:b w:val="0"/>
          <w:bCs w:val="0"/>
          <w:i/>
          <w:iCs/>
        </w:rPr>
        <w:t xml:space="preserve"> for </w:t>
      </w:r>
      <w:r>
        <w:rPr>
          <w:rFonts w:hint="eastAsia" w:eastAsia="宋体"/>
          <w:b w:val="0"/>
          <w:bCs w:val="0"/>
          <w:i/>
          <w:iCs/>
          <w:lang w:val="en-US" w:eastAsia="zh-CN"/>
        </w:rPr>
        <w:t xml:space="preserve">different configurations should be different </w:t>
      </w:r>
      <w:r>
        <w:rPr>
          <w:rFonts w:hint="eastAsia"/>
          <w:b w:val="0"/>
          <w:bCs w:val="0"/>
          <w:i/>
          <w:iCs/>
          <w:lang w:val="en-US" w:eastAsia="zh-CN"/>
        </w:rPr>
        <w:t>f</w:t>
      </w:r>
      <w:r>
        <w:rPr>
          <w:b w:val="0"/>
          <w:bCs w:val="0"/>
          <w:i/>
          <w:iCs/>
          <w:lang w:val="en-US" w:eastAsia="zh-CN"/>
        </w:rPr>
        <w:t>or</w:t>
      </w:r>
      <w:r>
        <w:rPr>
          <w:rFonts w:hint="eastAsia"/>
          <w:b w:val="0"/>
          <w:bCs w:val="0"/>
          <w:i/>
          <w:iCs/>
          <w:lang w:val="en-US" w:eastAsia="zh-CN"/>
        </w:rPr>
        <w:t xml:space="preserve"> </w:t>
      </w:r>
      <w:r>
        <w:rPr>
          <w:rFonts w:hint="eastAsia" w:eastAsia="宋体"/>
          <w:b w:val="0"/>
          <w:bCs w:val="0"/>
          <w:i/>
          <w:iCs/>
          <w:szCs w:val="21"/>
          <w:lang w:val="en-US" w:eastAsia="zh-CN"/>
        </w:rPr>
        <w:t>enhancing reliability and reducing latency,</w:t>
      </w:r>
    </w:p>
    <w:p>
      <w:pPr>
        <w:keepNext w:val="0"/>
        <w:keepLines w:val="0"/>
        <w:pageBreakBefore w:val="0"/>
        <w:widowControl/>
        <w:numPr>
          <w:ilvl w:val="0"/>
          <w:numId w:val="9"/>
        </w:numPr>
        <w:kinsoku/>
        <w:wordWrap/>
        <w:overflowPunct w:val="0"/>
        <w:topLinePunct w:val="0"/>
        <w:autoSpaceDE w:val="0"/>
        <w:autoSpaceDN w:val="0"/>
        <w:bidi w:val="0"/>
        <w:adjustRightInd w:val="0"/>
        <w:snapToGrid w:val="0"/>
        <w:spacing w:after="0" w:line="240" w:lineRule="auto"/>
        <w:ind w:left="839" w:leftChars="0" w:hanging="420" w:firstLineChars="0"/>
        <w:textAlignment w:val="baseline"/>
        <w:outlineLvl w:val="9"/>
        <w:rPr>
          <w:rFonts w:hint="default" w:eastAsia="宋体"/>
          <w:b w:val="0"/>
          <w:bCs w:val="0"/>
          <w:i/>
          <w:iCs/>
          <w:lang w:val="en-US" w:eastAsia="zh-CN"/>
        </w:rPr>
      </w:pPr>
      <w:r>
        <w:rPr>
          <w:rFonts w:hint="eastAsia" w:eastAsia="宋体"/>
          <w:b w:val="0"/>
          <w:bCs w:val="0"/>
          <w:i/>
          <w:iCs/>
          <w:lang w:val="en-US" w:eastAsia="zh-CN"/>
        </w:rPr>
        <w:t xml:space="preserve">at least the </w:t>
      </w:r>
      <w:r>
        <w:rPr>
          <w:b w:val="0"/>
          <w:bCs w:val="0"/>
          <w:i/>
          <w:iCs/>
        </w:rPr>
        <w:t xml:space="preserve">frequency </w:t>
      </w:r>
      <w:r>
        <w:rPr>
          <w:rFonts w:hint="eastAsia" w:eastAsia="宋体"/>
          <w:b w:val="0"/>
          <w:bCs w:val="0"/>
          <w:i/>
          <w:iCs/>
          <w:lang w:val="en-US" w:eastAsia="zh-CN"/>
        </w:rPr>
        <w:t xml:space="preserve">domain </w:t>
      </w:r>
      <w:r>
        <w:rPr>
          <w:b w:val="0"/>
          <w:bCs w:val="0"/>
          <w:i/>
          <w:iCs/>
        </w:rPr>
        <w:t>resource</w:t>
      </w:r>
      <w:r>
        <w:rPr>
          <w:rFonts w:hint="eastAsia" w:eastAsia="宋体"/>
          <w:b w:val="0"/>
          <w:bCs w:val="0"/>
          <w:i/>
          <w:iCs/>
          <w:lang w:val="en-US" w:eastAsia="zh-CN"/>
        </w:rPr>
        <w:t>s</w:t>
      </w:r>
      <w:r>
        <w:rPr>
          <w:b w:val="0"/>
          <w:bCs w:val="0"/>
          <w:i/>
          <w:iCs/>
        </w:rPr>
        <w:t xml:space="preserve"> for </w:t>
      </w:r>
      <w:r>
        <w:rPr>
          <w:rFonts w:hint="eastAsia" w:eastAsia="宋体"/>
          <w:b w:val="0"/>
          <w:bCs w:val="0"/>
          <w:i/>
          <w:iCs/>
          <w:lang w:val="en-US" w:eastAsia="zh-CN"/>
        </w:rPr>
        <w:t xml:space="preserve">different configurations should be different for use case of </w:t>
      </w:r>
      <w:r>
        <w:rPr>
          <w:rFonts w:hint="eastAsia" w:eastAsia="宋体"/>
          <w:b w:val="0"/>
          <w:bCs w:val="0"/>
          <w:i/>
          <w:iCs/>
          <w:sz w:val="20"/>
          <w:szCs w:val="21"/>
          <w:lang w:val="en-US" w:eastAsia="zh-CN"/>
        </w:rPr>
        <w:t>inter-UE multiplexing.</w:t>
      </w:r>
    </w:p>
    <w:p>
      <w:pPr>
        <w:keepNext w:val="0"/>
        <w:keepLines w:val="0"/>
        <w:pageBreakBefore w:val="0"/>
        <w:widowControl/>
        <w:kinsoku/>
        <w:wordWrap/>
        <w:overflowPunct w:val="0"/>
        <w:topLinePunct w:val="0"/>
        <w:autoSpaceDE w:val="0"/>
        <w:autoSpaceDN w:val="0"/>
        <w:bidi w:val="0"/>
        <w:adjustRightInd w:val="0"/>
        <w:snapToGrid w:val="0"/>
        <w:spacing w:before="181" w:beforeLines="50" w:afterLines="50" w:line="240" w:lineRule="auto"/>
        <w:textAlignment w:val="baseline"/>
        <w:outlineLvl w:val="9"/>
        <w:rPr>
          <w:rFonts w:hint="default" w:eastAsia="宋体"/>
          <w:b w:val="0"/>
          <w:bCs w:val="0"/>
          <w:i/>
          <w:iCs/>
          <w:szCs w:val="21"/>
          <w:lang w:val="en-US" w:eastAsia="zh-CN"/>
        </w:rPr>
      </w:pPr>
      <w:r>
        <w:rPr>
          <w:rFonts w:hint="eastAsia"/>
          <w:b/>
          <w:bCs/>
          <w:i/>
          <w:iCs/>
          <w:szCs w:val="21"/>
          <w:lang w:val="en-US" w:eastAsia="zh-CN"/>
        </w:rPr>
        <w:t xml:space="preserve">Proposal 4: </w:t>
      </w:r>
      <w:r>
        <w:rPr>
          <w:rFonts w:hint="eastAsia"/>
          <w:b w:val="0"/>
          <w:bCs w:val="0"/>
          <w:i/>
          <w:iCs/>
          <w:szCs w:val="21"/>
          <w:lang w:val="en-US" w:eastAsia="zh-CN"/>
        </w:rPr>
        <w:t xml:space="preserve">For </w:t>
      </w:r>
      <w:r>
        <w:rPr>
          <w:b w:val="0"/>
          <w:bCs w:val="0"/>
          <w:i/>
          <w:iCs/>
          <w:szCs w:val="21"/>
          <w:lang w:val="en-US" w:eastAsia="zh-CN"/>
        </w:rPr>
        <w:t>activat</w:t>
      </w:r>
      <w:r>
        <w:rPr>
          <w:rFonts w:hint="eastAsia"/>
          <w:b w:val="0"/>
          <w:bCs w:val="0"/>
          <w:i/>
          <w:iCs/>
          <w:szCs w:val="21"/>
          <w:lang w:val="en-US" w:eastAsia="zh-CN"/>
        </w:rPr>
        <w:t>ion</w:t>
      </w:r>
      <w:r>
        <w:rPr>
          <w:b w:val="0"/>
          <w:bCs w:val="0"/>
          <w:i/>
          <w:iCs/>
          <w:szCs w:val="21"/>
          <w:lang w:val="en-US" w:eastAsia="zh-CN"/>
        </w:rPr>
        <w:t>/deactivat</w:t>
      </w:r>
      <w:r>
        <w:rPr>
          <w:rFonts w:hint="eastAsia"/>
          <w:b w:val="0"/>
          <w:bCs w:val="0"/>
          <w:i/>
          <w:iCs/>
          <w:szCs w:val="21"/>
          <w:lang w:val="en-US" w:eastAsia="zh-CN"/>
        </w:rPr>
        <w:t>ion</w:t>
      </w:r>
      <w:r>
        <w:rPr>
          <w:b w:val="0"/>
          <w:bCs w:val="0"/>
          <w:i/>
          <w:iCs/>
          <w:szCs w:val="21"/>
          <w:lang w:val="en-US" w:eastAsia="zh-CN"/>
        </w:rPr>
        <w:t xml:space="preserve"> </w:t>
      </w:r>
      <w:r>
        <w:rPr>
          <w:rFonts w:hint="eastAsia"/>
          <w:b w:val="0"/>
          <w:bCs w:val="0"/>
          <w:i/>
          <w:iCs/>
          <w:lang w:val="en-US" w:eastAsia="zh-CN"/>
        </w:rPr>
        <w:t xml:space="preserve">of </w:t>
      </w:r>
      <w:r>
        <w:rPr>
          <w:b w:val="0"/>
          <w:bCs w:val="0"/>
          <w:i/>
          <w:iCs/>
        </w:rPr>
        <w:t>multiple configured grant configurations</w:t>
      </w:r>
      <w:r>
        <w:rPr>
          <w:rFonts w:hint="eastAsia" w:eastAsia="宋体"/>
          <w:b w:val="0"/>
          <w:bCs w:val="0"/>
          <w:i/>
          <w:iCs/>
          <w:lang w:val="en-US" w:eastAsia="zh-CN"/>
        </w:rPr>
        <w:t xml:space="preserve">, </w:t>
      </w:r>
    </w:p>
    <w:p>
      <w:pPr>
        <w:keepNext w:val="0"/>
        <w:keepLines w:val="0"/>
        <w:pageBreakBefore w:val="0"/>
        <w:widowControl/>
        <w:numPr>
          <w:ilvl w:val="0"/>
          <w:numId w:val="9"/>
        </w:numPr>
        <w:kinsoku/>
        <w:wordWrap/>
        <w:overflowPunct w:val="0"/>
        <w:topLinePunct w:val="0"/>
        <w:autoSpaceDE w:val="0"/>
        <w:autoSpaceDN w:val="0"/>
        <w:bidi w:val="0"/>
        <w:adjustRightInd w:val="0"/>
        <w:snapToGrid w:val="0"/>
        <w:spacing w:after="0" w:line="240" w:lineRule="auto"/>
        <w:ind w:left="839" w:leftChars="0" w:hanging="420" w:firstLineChars="0"/>
        <w:textAlignment w:val="baseline"/>
        <w:outlineLvl w:val="9"/>
        <w:rPr>
          <w:rFonts w:hint="eastAsia"/>
          <w:b w:val="0"/>
          <w:bCs w:val="0"/>
          <w:i/>
          <w:iCs/>
          <w:lang w:val="en-US" w:eastAsia="zh-CN"/>
        </w:rPr>
      </w:pPr>
      <w:r>
        <w:rPr>
          <w:rFonts w:hint="eastAsia"/>
          <w:b w:val="0"/>
          <w:bCs w:val="0"/>
          <w:i/>
          <w:iCs/>
          <w:szCs w:val="21"/>
          <w:lang w:val="en-US" w:eastAsia="zh-CN"/>
        </w:rPr>
        <w:t>u</w:t>
      </w:r>
      <w:r>
        <w:rPr>
          <w:b w:val="0"/>
          <w:bCs w:val="0"/>
          <w:i/>
          <w:iCs/>
          <w:szCs w:val="21"/>
          <w:lang w:val="en-US" w:eastAsia="zh-CN"/>
        </w:rPr>
        <w:t>sing independent DCI signaling to activate/deactivate each configuration</w:t>
      </w:r>
      <w:r>
        <w:rPr>
          <w:rFonts w:hint="eastAsia"/>
          <w:b w:val="0"/>
          <w:bCs w:val="0"/>
          <w:i/>
          <w:iCs/>
          <w:lang w:val="en-US" w:eastAsia="zh-CN"/>
        </w:rPr>
        <w:t xml:space="preserve"> f</w:t>
      </w:r>
      <w:r>
        <w:rPr>
          <w:b w:val="0"/>
          <w:bCs w:val="0"/>
          <w:i/>
          <w:iCs/>
          <w:lang w:val="en-US" w:eastAsia="zh-CN"/>
        </w:rPr>
        <w:t>or</w:t>
      </w:r>
      <w:r>
        <w:rPr>
          <w:rFonts w:hint="eastAsia"/>
          <w:b w:val="0"/>
          <w:bCs w:val="0"/>
          <w:i/>
          <w:iCs/>
          <w:lang w:val="en-US" w:eastAsia="zh-CN"/>
        </w:rPr>
        <w:t xml:space="preserve"> supporting </w:t>
      </w:r>
      <w:r>
        <w:rPr>
          <w:rFonts w:hint="eastAsia" w:eastAsia="宋体"/>
          <w:b w:val="0"/>
          <w:bCs w:val="0"/>
          <w:i/>
          <w:iCs/>
          <w:szCs w:val="21"/>
          <w:lang w:val="en-US" w:eastAsia="zh-CN"/>
        </w:rPr>
        <w:t>different services/traffic type,</w:t>
      </w:r>
    </w:p>
    <w:p>
      <w:pPr>
        <w:keepNext w:val="0"/>
        <w:keepLines w:val="0"/>
        <w:pageBreakBefore w:val="0"/>
        <w:widowControl/>
        <w:numPr>
          <w:ilvl w:val="0"/>
          <w:numId w:val="9"/>
        </w:numPr>
        <w:kinsoku/>
        <w:wordWrap/>
        <w:overflowPunct w:val="0"/>
        <w:topLinePunct w:val="0"/>
        <w:autoSpaceDE w:val="0"/>
        <w:autoSpaceDN w:val="0"/>
        <w:bidi w:val="0"/>
        <w:adjustRightInd w:val="0"/>
        <w:snapToGrid w:val="0"/>
        <w:spacing w:after="181" w:afterLines="50" w:line="240" w:lineRule="auto"/>
        <w:ind w:left="839" w:leftChars="0" w:hanging="420" w:firstLineChars="0"/>
        <w:textAlignment w:val="baseline"/>
        <w:outlineLvl w:val="9"/>
        <w:rPr>
          <w:rFonts w:hint="default" w:eastAsia="宋体"/>
          <w:b w:val="0"/>
          <w:bCs w:val="0"/>
          <w:i/>
          <w:iCs/>
          <w:lang w:val="en-US" w:eastAsia="zh-CN"/>
        </w:rPr>
      </w:pPr>
      <w:r>
        <w:rPr>
          <w:b w:val="0"/>
          <w:bCs w:val="0"/>
          <w:i/>
          <w:iCs/>
          <w:szCs w:val="21"/>
          <w:lang w:val="en-US" w:eastAsia="zh-CN"/>
        </w:rPr>
        <w:t xml:space="preserve">using a common DCI signaling to activate/deactivate </w:t>
      </w:r>
      <w:r>
        <w:rPr>
          <w:rFonts w:hint="eastAsia"/>
          <w:b w:val="0"/>
          <w:bCs w:val="0"/>
          <w:i/>
          <w:iCs/>
          <w:szCs w:val="21"/>
          <w:lang w:val="en-US" w:eastAsia="zh-CN"/>
        </w:rPr>
        <w:t xml:space="preserve">one or more </w:t>
      </w:r>
      <w:r>
        <w:rPr>
          <w:b w:val="0"/>
          <w:bCs w:val="0"/>
          <w:i/>
          <w:iCs/>
          <w:szCs w:val="21"/>
          <w:lang w:val="en-US" w:eastAsia="zh-CN"/>
        </w:rPr>
        <w:t>configuration</w:t>
      </w:r>
      <w:r>
        <w:rPr>
          <w:rFonts w:hint="eastAsia"/>
          <w:b w:val="0"/>
          <w:bCs w:val="0"/>
          <w:i/>
          <w:iCs/>
          <w:szCs w:val="21"/>
          <w:lang w:val="en-US" w:eastAsia="zh-CN"/>
        </w:rPr>
        <w:t>s</w:t>
      </w:r>
      <w:r>
        <w:rPr>
          <w:rFonts w:hint="eastAsia" w:eastAsia="宋体"/>
          <w:b w:val="0"/>
          <w:bCs w:val="0"/>
          <w:i/>
          <w:iCs/>
          <w:lang w:val="en-US" w:eastAsia="zh-CN"/>
        </w:rPr>
        <w:t xml:space="preserve"> </w:t>
      </w:r>
      <w:r>
        <w:rPr>
          <w:rFonts w:hint="eastAsia"/>
          <w:b w:val="0"/>
          <w:bCs w:val="0"/>
          <w:i/>
          <w:iCs/>
          <w:lang w:val="en-US" w:eastAsia="zh-CN"/>
        </w:rPr>
        <w:t>f</w:t>
      </w:r>
      <w:r>
        <w:rPr>
          <w:b w:val="0"/>
          <w:bCs w:val="0"/>
          <w:i/>
          <w:iCs/>
          <w:lang w:val="en-US" w:eastAsia="zh-CN"/>
        </w:rPr>
        <w:t>or</w:t>
      </w:r>
      <w:r>
        <w:rPr>
          <w:rFonts w:hint="eastAsia"/>
          <w:b w:val="0"/>
          <w:bCs w:val="0"/>
          <w:i/>
          <w:iCs/>
          <w:lang w:val="en-US" w:eastAsia="zh-CN"/>
        </w:rPr>
        <w:t xml:space="preserve"> </w:t>
      </w:r>
      <w:r>
        <w:rPr>
          <w:rFonts w:hint="eastAsia" w:eastAsia="宋体"/>
          <w:b w:val="0"/>
          <w:bCs w:val="0"/>
          <w:i/>
          <w:iCs/>
          <w:szCs w:val="21"/>
          <w:lang w:val="en-US" w:eastAsia="zh-CN"/>
        </w:rPr>
        <w:t xml:space="preserve">enhancing reliability and reducing latency, or </w:t>
      </w:r>
      <w:r>
        <w:rPr>
          <w:rFonts w:hint="eastAsia" w:eastAsia="宋体"/>
          <w:b w:val="0"/>
          <w:bCs w:val="0"/>
          <w:i/>
          <w:iCs/>
          <w:sz w:val="20"/>
          <w:szCs w:val="21"/>
          <w:lang w:val="en-US" w:eastAsia="zh-CN"/>
        </w:rPr>
        <w:t>inter-UE multiplexing.</w:t>
      </w:r>
    </w:p>
    <w:p>
      <w:pPr>
        <w:pStyle w:val="2"/>
        <w:numPr>
          <w:ilvl w:val="0"/>
          <w:numId w:val="3"/>
        </w:numPr>
        <w:pBdr>
          <w:top w:val="single" w:color="auto" w:sz="12" w:space="2"/>
        </w:pBdr>
        <w:snapToGrid w:val="0"/>
        <w:spacing w:beforeLines="0" w:after="180" w:afterLines="50"/>
      </w:pPr>
      <w:r>
        <w:rPr>
          <w:rFonts w:hint="eastAsia"/>
        </w:rPr>
        <w:t>Reference</w:t>
      </w:r>
    </w:p>
    <w:p>
      <w:pPr>
        <w:pStyle w:val="81"/>
        <w:numPr>
          <w:ilvl w:val="0"/>
          <w:numId w:val="10"/>
        </w:numPr>
        <w:snapToGrid w:val="0"/>
        <w:ind w:firstLineChars="0"/>
        <w:rPr>
          <w:rFonts w:ascii="Times New Roman" w:hAnsi="Times New Roman"/>
          <w:sz w:val="20"/>
          <w:szCs w:val="20"/>
          <w:lang w:val="en-US" w:eastAsia="zh-CN"/>
        </w:rPr>
      </w:pPr>
      <w:bookmarkStart w:id="5" w:name="_Ref427157992"/>
      <w:r>
        <w:rPr>
          <w:rFonts w:hint="eastAsia" w:ascii="Times New Roman" w:hAnsi="Times New Roman"/>
          <w:sz w:val="20"/>
          <w:szCs w:val="20"/>
          <w:lang w:val="en-US" w:eastAsia="zh-CN"/>
        </w:rPr>
        <w:t>3GPP RAN</w:t>
      </w:r>
      <w:r>
        <w:rPr>
          <w:rFonts w:ascii="Times New Roman" w:hAnsi="Times New Roman"/>
          <w:sz w:val="20"/>
          <w:szCs w:val="20"/>
          <w:lang w:val="en-US" w:eastAsia="zh-CN"/>
        </w:rPr>
        <w:t>1</w:t>
      </w:r>
      <w:r>
        <w:rPr>
          <w:rFonts w:hint="eastAsia" w:ascii="Times New Roman" w:hAnsi="Times New Roman"/>
          <w:sz w:val="20"/>
          <w:szCs w:val="20"/>
          <w:lang w:val="en-US" w:eastAsia="zh-CN"/>
        </w:rPr>
        <w:t xml:space="preserve"> #94bis, chairman notes.</w:t>
      </w:r>
    </w:p>
    <w:p>
      <w:pPr>
        <w:pStyle w:val="81"/>
        <w:numPr>
          <w:ilvl w:val="0"/>
          <w:numId w:val="10"/>
        </w:numPr>
        <w:snapToGrid w:val="0"/>
        <w:ind w:firstLineChars="0"/>
        <w:rPr>
          <w:rFonts w:ascii="Times New Roman" w:hAnsi="Times New Roman"/>
          <w:sz w:val="20"/>
          <w:szCs w:val="20"/>
          <w:lang w:val="en-US" w:eastAsia="zh-CN"/>
        </w:rPr>
      </w:pPr>
      <w:r>
        <w:rPr>
          <w:rFonts w:hint="eastAsia" w:ascii="Times New Roman" w:hAnsi="Times New Roman"/>
          <w:sz w:val="20"/>
          <w:szCs w:val="20"/>
          <w:lang w:val="en-US" w:eastAsia="zh-CN"/>
        </w:rPr>
        <w:t>3GPP RAN</w:t>
      </w:r>
      <w:r>
        <w:rPr>
          <w:rFonts w:ascii="Times New Roman" w:hAnsi="Times New Roman"/>
          <w:sz w:val="20"/>
          <w:szCs w:val="20"/>
          <w:lang w:val="en-US" w:eastAsia="zh-CN"/>
        </w:rPr>
        <w:t>1</w:t>
      </w:r>
      <w:r>
        <w:rPr>
          <w:rFonts w:hint="eastAsia" w:ascii="Times New Roman" w:hAnsi="Times New Roman"/>
          <w:sz w:val="20"/>
          <w:szCs w:val="20"/>
          <w:lang w:val="en-US" w:eastAsia="zh-CN"/>
        </w:rPr>
        <w:t>#9</w:t>
      </w:r>
      <w:r>
        <w:rPr>
          <w:rFonts w:ascii="Times New Roman" w:hAnsi="Times New Roman"/>
          <w:sz w:val="20"/>
          <w:szCs w:val="20"/>
          <w:lang w:val="en-US" w:eastAsia="zh-CN"/>
        </w:rPr>
        <w:t>5</w:t>
      </w:r>
      <w:r>
        <w:rPr>
          <w:rFonts w:hint="eastAsia" w:ascii="Times New Roman" w:hAnsi="Times New Roman"/>
          <w:sz w:val="20"/>
          <w:szCs w:val="20"/>
          <w:lang w:val="en-US" w:eastAsia="zh-CN"/>
        </w:rPr>
        <w:t xml:space="preserve">, chairman notes. </w:t>
      </w:r>
    </w:p>
    <w:bookmarkEnd w:id="5"/>
    <w:p>
      <w:pPr>
        <w:pStyle w:val="81"/>
        <w:numPr>
          <w:ilvl w:val="0"/>
          <w:numId w:val="10"/>
        </w:numPr>
        <w:snapToGrid w:val="0"/>
        <w:ind w:firstLineChars="0"/>
        <w:rPr>
          <w:rFonts w:ascii="Times New Roman" w:hAnsi="Times New Roman"/>
          <w:sz w:val="20"/>
          <w:szCs w:val="20"/>
          <w:lang w:val="en-US" w:eastAsia="zh-CN"/>
        </w:rPr>
      </w:pPr>
      <w:r>
        <w:rPr>
          <w:rFonts w:hint="eastAsia" w:ascii="Times New Roman" w:hAnsi="Times New Roman"/>
          <w:sz w:val="20"/>
          <w:szCs w:val="20"/>
          <w:lang w:val="en-US" w:eastAsia="zh-CN"/>
        </w:rPr>
        <w:t>3GPP RAN</w:t>
      </w:r>
      <w:r>
        <w:rPr>
          <w:rFonts w:ascii="Times New Roman" w:hAnsi="Times New Roman"/>
          <w:sz w:val="20"/>
          <w:szCs w:val="20"/>
          <w:lang w:val="en-US" w:eastAsia="zh-CN"/>
        </w:rPr>
        <w:t>1</w:t>
      </w:r>
      <w:r>
        <w:rPr>
          <w:rFonts w:hint="eastAsia" w:ascii="Times New Roman" w:hAnsi="Times New Roman"/>
          <w:sz w:val="20"/>
          <w:szCs w:val="20"/>
          <w:lang w:val="en-US" w:eastAsia="zh-CN"/>
        </w:rPr>
        <w:t xml:space="preserve"> #</w:t>
      </w:r>
      <w:r>
        <w:rPr>
          <w:rFonts w:ascii="Times New Roman" w:hAnsi="Times New Roman"/>
          <w:sz w:val="20"/>
          <w:szCs w:val="20"/>
          <w:lang w:val="en-US" w:eastAsia="zh-CN"/>
        </w:rPr>
        <w:t>Ad-Hoc1901</w:t>
      </w:r>
      <w:r>
        <w:rPr>
          <w:rFonts w:hint="eastAsia" w:ascii="Times New Roman" w:hAnsi="Times New Roman"/>
          <w:sz w:val="20"/>
          <w:szCs w:val="20"/>
          <w:lang w:val="en-US" w:eastAsia="zh-CN"/>
        </w:rPr>
        <w:t xml:space="preserve">, chairman notes. </w:t>
      </w:r>
    </w:p>
    <w:p>
      <w:pPr>
        <w:pStyle w:val="81"/>
        <w:numPr>
          <w:ilvl w:val="0"/>
          <w:numId w:val="10"/>
        </w:numPr>
        <w:snapToGrid w:val="0"/>
        <w:ind w:firstLineChars="0"/>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3GPP RAN1 #Ad-Hoc1901, R1-1900072, On scheduling/HARQ processing timeline for URLLC, ZTE.</w:t>
      </w:r>
    </w:p>
    <w:p>
      <w:pPr>
        <w:pStyle w:val="81"/>
        <w:numPr>
          <w:ilvl w:val="0"/>
          <w:numId w:val="10"/>
        </w:numPr>
        <w:snapToGrid w:val="0"/>
        <w:ind w:firstLineChars="0"/>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3GPP RAN1 #Ad-Hoc1901, </w:t>
      </w:r>
      <w:r>
        <w:rPr>
          <w:rFonts w:hint="eastAsia" w:ascii="Times New Roman" w:hAnsi="Times New Roman" w:cs="Times New Roman"/>
          <w:sz w:val="20"/>
          <w:szCs w:val="20"/>
          <w:lang w:val="en-US" w:eastAsia="zh-CN"/>
        </w:rPr>
        <w:fldChar w:fldCharType="begin"/>
      </w:r>
      <w:r>
        <w:rPr>
          <w:rFonts w:hint="eastAsia" w:ascii="Times New Roman" w:hAnsi="Times New Roman" w:cs="Times New Roman"/>
          <w:sz w:val="20"/>
          <w:szCs w:val="20"/>
          <w:lang w:val="en-US" w:eastAsia="zh-CN"/>
        </w:rPr>
        <w:instrText xml:space="preserve">HYPERLINK "../R1-1900075.zip"</w:instrText>
      </w:r>
      <w:r>
        <w:rPr>
          <w:rFonts w:hint="eastAsia" w:ascii="Times New Roman" w:hAnsi="Times New Roman" w:cs="Times New Roman"/>
          <w:sz w:val="20"/>
          <w:szCs w:val="20"/>
          <w:lang w:val="en-US" w:eastAsia="zh-CN"/>
        </w:rPr>
        <w:fldChar w:fldCharType="separate"/>
      </w:r>
      <w:r>
        <w:rPr>
          <w:rStyle w:val="27"/>
          <w:rFonts w:hint="eastAsia" w:ascii="Times New Roman" w:hAnsi="Times New Roman" w:cs="Times New Roman"/>
          <w:sz w:val="20"/>
          <w:szCs w:val="20"/>
          <w:lang w:val="en-US" w:eastAsia="zh-CN"/>
        </w:rPr>
        <w:t>R1-1900075</w:t>
      </w:r>
      <w:r>
        <w:rPr>
          <w:rFonts w:hint="eastAsia" w:ascii="Times New Roman" w:hAnsi="Times New Roman" w:cs="Times New Roman"/>
          <w:sz w:val="20"/>
          <w:szCs w:val="20"/>
          <w:lang w:val="en-US" w:eastAsia="zh-CN"/>
        </w:rPr>
        <w:fldChar w:fldCharType="end"/>
      </w:r>
      <w:r>
        <w:rPr>
          <w:rFonts w:hint="eastAsia" w:ascii="Times New Roman" w:hAnsi="Times New Roman" w:cs="Times New Roman"/>
          <w:sz w:val="20"/>
          <w:szCs w:val="20"/>
          <w:lang w:val="en-US" w:eastAsia="zh-CN"/>
        </w:rPr>
        <w:t>, Enhancements for UL grant-free transmissions, ZTE</w:t>
      </w:r>
    </w:p>
    <w:p>
      <w:pPr>
        <w:pStyle w:val="81"/>
        <w:numPr>
          <w:ilvl w:val="0"/>
          <w:numId w:val="10"/>
        </w:numPr>
        <w:snapToGrid w:val="0"/>
        <w:ind w:firstLineChars="0"/>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3GPP RAN1 #Ad-Hoc1901, </w:t>
      </w:r>
      <w:r>
        <w:rPr>
          <w:rFonts w:hint="eastAsia" w:ascii="Times New Roman" w:hAnsi="Times New Roman" w:cs="Times New Roman"/>
          <w:sz w:val="20"/>
          <w:szCs w:val="20"/>
          <w:lang w:val="en-US" w:eastAsia="zh-CN"/>
        </w:rPr>
        <w:fldChar w:fldCharType="begin"/>
      </w:r>
      <w:r>
        <w:rPr>
          <w:rFonts w:hint="eastAsia" w:ascii="Times New Roman" w:hAnsi="Times New Roman" w:cs="Times New Roman"/>
          <w:sz w:val="20"/>
          <w:szCs w:val="20"/>
          <w:lang w:val="en-US" w:eastAsia="zh-CN"/>
        </w:rPr>
        <w:instrText xml:space="preserve">HYPERLINK "../R1-1901291.zip"</w:instrText>
      </w:r>
      <w:r>
        <w:rPr>
          <w:rFonts w:hint="eastAsia" w:ascii="Times New Roman" w:hAnsi="Times New Roman" w:cs="Times New Roman"/>
          <w:sz w:val="20"/>
          <w:szCs w:val="20"/>
          <w:lang w:val="en-US" w:eastAsia="zh-CN"/>
        </w:rPr>
        <w:fldChar w:fldCharType="separate"/>
      </w:r>
      <w:r>
        <w:rPr>
          <w:rStyle w:val="27"/>
          <w:rFonts w:hint="eastAsia" w:ascii="Times New Roman" w:hAnsi="Times New Roman" w:cs="Times New Roman"/>
          <w:sz w:val="20"/>
          <w:szCs w:val="20"/>
          <w:lang w:val="en-US" w:eastAsia="zh-CN"/>
        </w:rPr>
        <w:t>R1-1901291</w:t>
      </w:r>
      <w:r>
        <w:rPr>
          <w:rFonts w:hint="eastAsia" w:ascii="Times New Roman" w:hAnsi="Times New Roman" w:cs="Times New Roman"/>
          <w:sz w:val="20"/>
          <w:szCs w:val="20"/>
          <w:lang w:val="en-US" w:eastAsia="zh-CN"/>
        </w:rPr>
        <w:fldChar w:fldCharType="end"/>
      </w:r>
      <w:r>
        <w:rPr>
          <w:rFonts w:hint="eastAsia" w:ascii="Times New Roman" w:hAnsi="Times New Roman" w:cs="Times New Roman"/>
          <w:sz w:val="20"/>
          <w:szCs w:val="20"/>
          <w:lang w:val="en-US" w:eastAsia="zh-CN"/>
        </w:rPr>
        <w:t>, Discussion on URLLC enhancements for grant-free transmission</w:t>
      </w:r>
      <w:r>
        <w:rPr>
          <w:rFonts w:hint="eastAsia" w:ascii="Times New Roman" w:hAnsi="Times New Roman" w:cs="Times New Roman"/>
          <w:sz w:val="20"/>
          <w:szCs w:val="20"/>
          <w:lang w:val="en-US" w:eastAsia="zh-CN"/>
        </w:rPr>
        <w:tab/>
      </w:r>
      <w:r>
        <w:rPr>
          <w:rFonts w:hint="eastAsia" w:ascii="Times New Roman" w:hAnsi="Times New Roman" w:cs="Times New Roman"/>
          <w:sz w:val="20"/>
          <w:szCs w:val="20"/>
          <w:lang w:val="en-US" w:eastAsia="zh-CN"/>
        </w:rPr>
        <w:t>Panasonic Corporation</w:t>
      </w:r>
    </w:p>
    <w:p>
      <w:pPr>
        <w:pStyle w:val="81"/>
        <w:numPr>
          <w:ilvl w:val="0"/>
          <w:numId w:val="10"/>
        </w:numPr>
        <w:snapToGrid w:val="0"/>
        <w:ind w:firstLineChars="0"/>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3GPP RAN1 #Ad-Hoc1901, </w:t>
      </w:r>
      <w:r>
        <w:rPr>
          <w:rFonts w:hint="eastAsia" w:ascii="Times New Roman" w:hAnsi="Times New Roman" w:cs="Times New Roman"/>
          <w:sz w:val="20"/>
          <w:szCs w:val="20"/>
          <w:lang w:val="en-US" w:eastAsia="zh-CN"/>
        </w:rPr>
        <w:fldChar w:fldCharType="begin"/>
      </w:r>
      <w:r>
        <w:rPr>
          <w:rFonts w:hint="eastAsia" w:ascii="Times New Roman" w:hAnsi="Times New Roman" w:cs="Times New Roman"/>
          <w:sz w:val="20"/>
          <w:szCs w:val="20"/>
          <w:lang w:val="en-US" w:eastAsia="zh-CN"/>
        </w:rPr>
        <w:instrText xml:space="preserve">HYPERLINK "../R1-1900974.zip"</w:instrText>
      </w:r>
      <w:r>
        <w:rPr>
          <w:rFonts w:hint="eastAsia" w:ascii="Times New Roman" w:hAnsi="Times New Roman" w:cs="Times New Roman"/>
          <w:sz w:val="20"/>
          <w:szCs w:val="20"/>
          <w:lang w:val="en-US" w:eastAsia="zh-CN"/>
        </w:rPr>
        <w:fldChar w:fldCharType="separate"/>
      </w:r>
      <w:r>
        <w:rPr>
          <w:rFonts w:hint="eastAsia" w:ascii="Times New Roman" w:hAnsi="Times New Roman" w:cs="Times New Roman"/>
          <w:sz w:val="20"/>
          <w:szCs w:val="20"/>
          <w:lang w:val="en-US" w:eastAsia="zh-CN"/>
        </w:rPr>
        <w:t>R1-1900974</w:t>
      </w:r>
      <w:r>
        <w:rPr>
          <w:rFonts w:hint="eastAsia" w:ascii="Times New Roman" w:hAnsi="Times New Roman" w:cs="Times New Roman"/>
          <w:sz w:val="20"/>
          <w:szCs w:val="20"/>
          <w:lang w:val="en-US" w:eastAsia="zh-CN"/>
        </w:rPr>
        <w:fldChar w:fldCharType="end"/>
      </w:r>
      <w:r>
        <w:rPr>
          <w:rFonts w:hint="eastAsia" w:ascii="Times New Roman" w:hAnsi="Times New Roman" w:cs="Times New Roman"/>
          <w:sz w:val="20"/>
          <w:szCs w:val="20"/>
          <w:lang w:val="en-US" w:eastAsia="zh-CN"/>
        </w:rPr>
        <w:t>, Enhanced UL transmission with configured grant for URLLC, NTT DOCOMO, INC.</w:t>
      </w:r>
    </w:p>
    <w:p>
      <w:pPr>
        <w:pStyle w:val="81"/>
        <w:numPr>
          <w:ilvl w:val="0"/>
          <w:numId w:val="10"/>
        </w:numPr>
        <w:snapToGrid w:val="0"/>
        <w:ind w:firstLineChars="0"/>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3GPP RAN1 #Ad-Hoc1901, </w:t>
      </w:r>
      <w:r>
        <w:rPr>
          <w:rFonts w:hint="eastAsia" w:ascii="Times New Roman" w:hAnsi="Times New Roman" w:cs="Times New Roman"/>
          <w:sz w:val="20"/>
          <w:szCs w:val="20"/>
          <w:lang w:val="en-US" w:eastAsia="zh-CN"/>
        </w:rPr>
        <w:fldChar w:fldCharType="begin"/>
      </w:r>
      <w:r>
        <w:rPr>
          <w:rFonts w:hint="eastAsia" w:ascii="Times New Roman" w:hAnsi="Times New Roman" w:cs="Times New Roman"/>
          <w:sz w:val="20"/>
          <w:szCs w:val="20"/>
          <w:lang w:val="en-US" w:eastAsia="zh-CN"/>
        </w:rPr>
        <w:instrText xml:space="preserve">HYPERLINK "../R1-1900901.zip"</w:instrText>
      </w:r>
      <w:r>
        <w:rPr>
          <w:rFonts w:hint="eastAsia" w:ascii="Times New Roman" w:hAnsi="Times New Roman" w:cs="Times New Roman"/>
          <w:sz w:val="20"/>
          <w:szCs w:val="20"/>
          <w:lang w:val="en-US" w:eastAsia="zh-CN"/>
        </w:rPr>
        <w:fldChar w:fldCharType="separate"/>
      </w:r>
      <w:r>
        <w:rPr>
          <w:rStyle w:val="27"/>
          <w:rFonts w:hint="eastAsia" w:ascii="Times New Roman" w:hAnsi="Times New Roman" w:cs="Times New Roman"/>
          <w:sz w:val="20"/>
          <w:szCs w:val="20"/>
          <w:lang w:val="en-US" w:eastAsia="zh-CN"/>
        </w:rPr>
        <w:t>R1-1900901</w:t>
      </w:r>
      <w:r>
        <w:rPr>
          <w:rFonts w:hint="eastAsia" w:ascii="Times New Roman" w:hAnsi="Times New Roman" w:cs="Times New Roman"/>
          <w:sz w:val="20"/>
          <w:szCs w:val="20"/>
          <w:lang w:val="en-US" w:eastAsia="zh-CN"/>
        </w:rPr>
        <w:fldChar w:fldCharType="end"/>
      </w:r>
      <w:r>
        <w:rPr>
          <w:rFonts w:hint="eastAsia" w:ascii="Times New Roman" w:hAnsi="Times New Roman" w:cs="Times New Roman"/>
          <w:sz w:val="20"/>
          <w:szCs w:val="20"/>
          <w:lang w:val="en-US" w:eastAsia="zh-CN"/>
        </w:rPr>
        <w:t>, Enhanced Grant-Free Transmissions for eURLLC, Qualcomm Incorporated</w:t>
      </w:r>
    </w:p>
    <w:p>
      <w:pPr>
        <w:pStyle w:val="81"/>
        <w:numPr>
          <w:ilvl w:val="0"/>
          <w:numId w:val="10"/>
        </w:numPr>
        <w:snapToGrid w:val="0"/>
        <w:ind w:firstLineChars="0"/>
        <w:rPr>
          <w:rFonts w:hint="eastAsia" w:ascii="Times New Roman" w:hAnsi="Times New Roman"/>
          <w:sz w:val="20"/>
          <w:szCs w:val="20"/>
          <w:lang w:val="en-US" w:eastAsia="zh-CN"/>
        </w:rPr>
      </w:pPr>
      <w:r>
        <w:rPr>
          <w:rFonts w:hint="eastAsia" w:ascii="Times New Roman" w:hAnsi="Times New Roman" w:cs="Times New Roman"/>
          <w:sz w:val="20"/>
          <w:szCs w:val="20"/>
          <w:lang w:val="en-US" w:eastAsia="zh-CN"/>
        </w:rPr>
        <w:t xml:space="preserve">3GPP RAN1 #Ad-Hoc1901, </w:t>
      </w:r>
      <w:r>
        <w:rPr>
          <w:rFonts w:hint="eastAsia" w:ascii="Times New Roman" w:hAnsi="Times New Roman" w:cs="Times New Roman"/>
          <w:sz w:val="20"/>
          <w:szCs w:val="20"/>
          <w:lang w:val="en-US" w:eastAsia="zh-CN"/>
        </w:rPr>
        <w:fldChar w:fldCharType="begin"/>
      </w:r>
      <w:r>
        <w:rPr>
          <w:rFonts w:hint="eastAsia" w:ascii="Times New Roman" w:hAnsi="Times New Roman" w:cs="Times New Roman"/>
          <w:sz w:val="20"/>
          <w:szCs w:val="20"/>
          <w:lang w:val="en-US" w:eastAsia="zh-CN"/>
        </w:rPr>
        <w:instrText xml:space="preserve">HYPERLINK "../R1-1900049.zip"</w:instrText>
      </w:r>
      <w:r>
        <w:rPr>
          <w:rFonts w:hint="eastAsia" w:ascii="Times New Roman" w:hAnsi="Times New Roman" w:cs="Times New Roman"/>
          <w:sz w:val="20"/>
          <w:szCs w:val="20"/>
          <w:lang w:val="en-US" w:eastAsia="zh-CN"/>
        </w:rPr>
        <w:fldChar w:fldCharType="separate"/>
      </w:r>
      <w:r>
        <w:rPr>
          <w:rStyle w:val="27"/>
          <w:rFonts w:hint="eastAsia" w:ascii="Times New Roman" w:hAnsi="Times New Roman" w:cs="Times New Roman"/>
          <w:sz w:val="20"/>
          <w:szCs w:val="20"/>
          <w:lang w:val="en-US" w:eastAsia="zh-CN"/>
        </w:rPr>
        <w:t>R1-1900049</w:t>
      </w:r>
      <w:r>
        <w:rPr>
          <w:rFonts w:hint="eastAsia" w:ascii="Times New Roman" w:hAnsi="Times New Roman" w:cs="Times New Roman"/>
          <w:sz w:val="20"/>
          <w:szCs w:val="20"/>
          <w:lang w:val="en-US" w:eastAsia="zh-CN"/>
        </w:rPr>
        <w:fldChar w:fldCharType="end"/>
      </w:r>
      <w:r>
        <w:rPr>
          <w:rFonts w:hint="eastAsia" w:ascii="Times New Roman" w:hAnsi="Times New Roman" w:cs="Times New Roman"/>
          <w:sz w:val="20"/>
          <w:szCs w:val="20"/>
          <w:lang w:val="en-US" w:eastAsia="zh-CN"/>
        </w:rPr>
        <w:t>, Enhanced UL configured grant transmissions, Huawei, HiSilicon</w:t>
      </w:r>
    </w:p>
    <w:p>
      <w:pPr>
        <w:pStyle w:val="81"/>
        <w:numPr>
          <w:ilvl w:val="0"/>
          <w:numId w:val="10"/>
        </w:numPr>
        <w:snapToGrid w:val="0"/>
        <w:ind w:firstLineChars="0"/>
        <w:rPr>
          <w:rFonts w:ascii="Times New Roman" w:hAnsi="Times New Roman"/>
          <w:sz w:val="20"/>
          <w:szCs w:val="20"/>
          <w:lang w:val="en-US" w:eastAsia="zh-CN"/>
        </w:rPr>
      </w:pPr>
      <w:r>
        <w:rPr>
          <w:rFonts w:hint="eastAsia" w:ascii="Times New Roman" w:hAnsi="Times New Roman"/>
          <w:sz w:val="20"/>
          <w:szCs w:val="20"/>
          <w:lang w:val="en-US" w:eastAsia="zh-CN"/>
        </w:rPr>
        <w:t>3GPP RAN</w:t>
      </w:r>
      <w:r>
        <w:rPr>
          <w:rFonts w:ascii="Times New Roman" w:hAnsi="Times New Roman"/>
          <w:sz w:val="20"/>
          <w:szCs w:val="20"/>
          <w:lang w:val="en-US" w:eastAsia="zh-CN"/>
        </w:rPr>
        <w:t>1</w:t>
      </w:r>
      <w:r>
        <w:rPr>
          <w:rFonts w:hint="eastAsia" w:ascii="Times New Roman" w:hAnsi="Times New Roman"/>
          <w:sz w:val="20"/>
          <w:szCs w:val="20"/>
          <w:lang w:val="en-US" w:eastAsia="zh-CN"/>
        </w:rPr>
        <w:t xml:space="preserve"> #95, </w:t>
      </w:r>
      <w:r>
        <w:rPr>
          <w:rFonts w:ascii="Times New Roman" w:hAnsi="Times New Roman"/>
          <w:sz w:val="20"/>
          <w:szCs w:val="20"/>
          <w:lang w:val="en-US" w:eastAsia="zh-CN"/>
        </w:rPr>
        <w:t xml:space="preserve">R1-1813884, </w:t>
      </w:r>
      <w:r>
        <w:rPr>
          <w:rFonts w:hint="eastAsia" w:ascii="Times New Roman" w:hAnsi="Times New Roman"/>
          <w:sz w:val="20"/>
          <w:szCs w:val="20"/>
          <w:lang w:val="en-US" w:eastAsia="zh-CN"/>
        </w:rPr>
        <w:t>Enhancement for UL grant-free transmissions</w:t>
      </w:r>
      <w:r>
        <w:rPr>
          <w:rFonts w:ascii="Times New Roman" w:hAnsi="Times New Roman"/>
          <w:sz w:val="20"/>
          <w:szCs w:val="20"/>
          <w:lang w:val="en-US" w:eastAsia="zh-CN"/>
        </w:rPr>
        <w:t xml:space="preserve">, </w:t>
      </w:r>
      <w:r>
        <w:rPr>
          <w:rFonts w:hint="eastAsia" w:ascii="Times New Roman" w:hAnsi="Times New Roman"/>
          <w:sz w:val="20"/>
          <w:szCs w:val="20"/>
          <w:lang w:val="en-US" w:eastAsia="zh-CN"/>
        </w:rPr>
        <w:t>ZTE.</w:t>
      </w:r>
    </w:p>
    <w:p>
      <w:pPr>
        <w:pStyle w:val="81"/>
        <w:numPr>
          <w:ilvl w:val="0"/>
          <w:numId w:val="10"/>
        </w:numPr>
        <w:snapToGrid w:val="0"/>
        <w:ind w:firstLineChars="0"/>
        <w:rPr>
          <w:rFonts w:ascii="Times New Roman" w:hAnsi="Times New Roman"/>
          <w:sz w:val="20"/>
          <w:szCs w:val="20"/>
          <w:lang w:val="en-US" w:eastAsia="zh-CN"/>
        </w:rPr>
      </w:pPr>
      <w:r>
        <w:rPr>
          <w:rFonts w:hint="eastAsia" w:ascii="Times New Roman" w:hAnsi="Times New Roman"/>
          <w:sz w:val="20"/>
          <w:szCs w:val="20"/>
          <w:lang w:val="en-US" w:eastAsia="zh-CN"/>
        </w:rPr>
        <w:t>3GPP RAN</w:t>
      </w:r>
      <w:r>
        <w:rPr>
          <w:rFonts w:ascii="Times New Roman" w:hAnsi="Times New Roman"/>
          <w:sz w:val="20"/>
          <w:szCs w:val="20"/>
          <w:lang w:val="en-US" w:eastAsia="zh-CN"/>
        </w:rPr>
        <w:t>1</w:t>
      </w:r>
      <w:r>
        <w:rPr>
          <w:rFonts w:hint="eastAsia" w:ascii="Times New Roman" w:hAnsi="Times New Roman"/>
          <w:sz w:val="20"/>
          <w:szCs w:val="20"/>
          <w:lang w:val="en-US" w:eastAsia="zh-CN"/>
        </w:rPr>
        <w:t xml:space="preserve"> #96, R1-1901772, </w:t>
      </w:r>
      <w:r>
        <w:rPr>
          <w:rFonts w:hint="default" w:ascii="Times New Roman" w:hAnsi="Times New Roman" w:eastAsia="宋体" w:cs="Times New Roman"/>
          <w:i w:val="0"/>
          <w:color w:val="000000"/>
          <w:kern w:val="0"/>
          <w:sz w:val="20"/>
          <w:szCs w:val="20"/>
          <w:u w:val="none"/>
          <w:lang w:val="en-US" w:eastAsia="zh-CN" w:bidi="ar"/>
        </w:rPr>
        <w:t>UL inter-UE multiplexing between eMBB and URLLC</w:t>
      </w:r>
      <w:r>
        <w:rPr>
          <w:rFonts w:hint="eastAsia" w:ascii="Times New Roman" w:hAnsi="Times New Roman"/>
          <w:sz w:val="20"/>
          <w:szCs w:val="20"/>
          <w:lang w:val="en-US" w:eastAsia="zh-CN"/>
        </w:rPr>
        <w:t>, ZTE.</w:t>
      </w:r>
    </w:p>
    <w:p>
      <w:pPr>
        <w:pStyle w:val="105"/>
        <w:numPr>
          <w:ilvl w:val="0"/>
          <w:numId w:val="0"/>
        </w:numPr>
        <w:adjustRightInd w:val="0"/>
        <w:spacing w:after="0" w:line="360" w:lineRule="auto"/>
        <w:jc w:val="left"/>
        <w:rPr>
          <w:szCs w:val="20"/>
          <w:lang w:eastAsia="ja-JP"/>
        </w:rPr>
      </w:pPr>
      <w:bookmarkStart w:id="6" w:name="_GoBack"/>
      <w:bookmarkEnd w:id="6"/>
    </w:p>
    <w:sectPr>
      <w:footerReference r:id="rId3" w:type="default"/>
      <w:pgSz w:w="12240" w:h="15840"/>
      <w:pgMar w:top="1440" w:right="1467" w:bottom="1440" w:left="1418" w:header="708" w:footer="708"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6" w:usb3="00000000" w:csb0="00040001"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Batang">
    <w:panose1 w:val="02030600000101010101"/>
    <w:charset w:val="81"/>
    <w:family w:val="roman"/>
    <w:pitch w:val="default"/>
    <w:sig w:usb0="B00002AF" w:usb1="69D77CFB" w:usb2="00000030" w:usb3="00000000" w:csb0="4008009F" w:csb1="DFD70000"/>
  </w:font>
  <w:font w:name="Yu Mincho">
    <w:altName w:val="MS Mincho"/>
    <w:panose1 w:val="00000000000000000000"/>
    <w:charset w:val="80"/>
    <w:family w:val="roman"/>
    <w:pitch w:val="default"/>
    <w:sig w:usb0="00000000" w:usb1="00000000" w:usb2="00000012" w:usb3="00000000" w:csb0="000200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jc w:val="center"/>
    </w:pPr>
    <w:r>
      <w:fldChar w:fldCharType="begin"/>
    </w:r>
    <w:r>
      <w:instrText xml:space="preserve"> PAGE   \* MERGEFORMAT </w:instrText>
    </w:r>
    <w:r>
      <w:fldChar w:fldCharType="separate"/>
    </w:r>
    <w:r>
      <w:rPr>
        <w:lang w:val="en-US" w:eastAsia="zh-CN"/>
      </w:rPr>
      <w:t>7</w:t>
    </w:r>
    <w:r>
      <w:rPr>
        <w:lang w:val="en-US" w:eastAsia="zh-CN"/>
      </w:rPr>
      <w:fldChar w:fldCharType="end"/>
    </w:r>
  </w:p>
  <w:p>
    <w:pPr>
      <w:pStyle w:val="21"/>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A0ACDD8"/>
    <w:multiLevelType w:val="singleLevel"/>
    <w:tmpl w:val="9A0ACDD8"/>
    <w:lvl w:ilvl="0" w:tentative="0">
      <w:start w:val="1"/>
      <w:numFmt w:val="bullet"/>
      <w:lvlText w:val=""/>
      <w:lvlJc w:val="left"/>
      <w:pPr>
        <w:ind w:left="420" w:hanging="420"/>
      </w:pPr>
      <w:rPr>
        <w:rFonts w:hint="default" w:ascii="Wingdings" w:hAnsi="Wingdings"/>
      </w:rPr>
    </w:lvl>
  </w:abstractNum>
  <w:abstractNum w:abstractNumId="1">
    <w:nsid w:val="23645A76"/>
    <w:multiLevelType w:val="multilevel"/>
    <w:tmpl w:val="23645A76"/>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2ADE340D"/>
    <w:multiLevelType w:val="multilevel"/>
    <w:tmpl w:val="2ADE340D"/>
    <w:lvl w:ilvl="0" w:tentative="0">
      <w:start w:val="1"/>
      <w:numFmt w:val="low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3A877D64"/>
    <w:multiLevelType w:val="singleLevel"/>
    <w:tmpl w:val="3A877D64"/>
    <w:lvl w:ilvl="0" w:tentative="0">
      <w:start w:val="1"/>
      <w:numFmt w:val="decimal"/>
      <w:pStyle w:val="105"/>
      <w:lvlText w:val="[%1]"/>
      <w:lvlJc w:val="left"/>
      <w:pPr>
        <w:tabs>
          <w:tab w:val="left" w:pos="360"/>
        </w:tabs>
        <w:ind w:left="360" w:hanging="360"/>
      </w:pPr>
    </w:lvl>
  </w:abstractNum>
  <w:abstractNum w:abstractNumId="4">
    <w:nsid w:val="4BE2636C"/>
    <w:multiLevelType w:val="multilevel"/>
    <w:tmpl w:val="4BE2636C"/>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5">
    <w:nsid w:val="4E9A2A90"/>
    <w:multiLevelType w:val="multilevel"/>
    <w:tmpl w:val="4E9A2A9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51E75DED"/>
    <w:multiLevelType w:val="multilevel"/>
    <w:tmpl w:val="51E75DED"/>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5A0D829C"/>
    <w:multiLevelType w:val="singleLevel"/>
    <w:tmpl w:val="5A0D829C"/>
    <w:lvl w:ilvl="0" w:tentative="0">
      <w:start w:val="1"/>
      <w:numFmt w:val="decimal"/>
      <w:pStyle w:val="2"/>
      <w:lvlText w:val="%1."/>
      <w:lvlJc w:val="left"/>
      <w:pPr>
        <w:ind w:left="425" w:hanging="425"/>
      </w:pPr>
      <w:rPr>
        <w:rFonts w:hint="default"/>
      </w:rPr>
    </w:lvl>
  </w:abstractNum>
  <w:abstractNum w:abstractNumId="8">
    <w:nsid w:val="5BAB11FA"/>
    <w:multiLevelType w:val="singleLevel"/>
    <w:tmpl w:val="5BAB11FA"/>
    <w:lvl w:ilvl="0" w:tentative="0">
      <w:start w:val="1"/>
      <w:numFmt w:val="bullet"/>
      <w:lvlText w:val=""/>
      <w:lvlJc w:val="left"/>
      <w:pPr>
        <w:ind w:left="420" w:hanging="420"/>
      </w:pPr>
      <w:rPr>
        <w:rFonts w:hint="default" w:ascii="Wingdings" w:hAnsi="Wingdings"/>
      </w:rPr>
    </w:lvl>
  </w:abstractNum>
  <w:abstractNum w:abstractNumId="9">
    <w:nsid w:val="7F264AC5"/>
    <w:multiLevelType w:val="singleLevel"/>
    <w:tmpl w:val="7F264AC5"/>
    <w:lvl w:ilvl="0" w:tentative="0">
      <w:start w:val="1"/>
      <w:numFmt w:val="bullet"/>
      <w:lvlText w:val=""/>
      <w:lvlJc w:val="left"/>
      <w:pPr>
        <w:ind w:left="420" w:hanging="420"/>
      </w:pPr>
      <w:rPr>
        <w:rFonts w:hint="default" w:ascii="Wingdings" w:hAnsi="Wingdings"/>
      </w:rPr>
    </w:lvl>
  </w:abstractNum>
  <w:num w:numId="1">
    <w:abstractNumId w:val="7"/>
  </w:num>
  <w:num w:numId="2">
    <w:abstractNumId w:val="3"/>
  </w:num>
  <w:num w:numId="3">
    <w:abstractNumId w:val="4"/>
  </w:num>
  <w:num w:numId="4">
    <w:abstractNumId w:val="5"/>
  </w:num>
  <w:num w:numId="5">
    <w:abstractNumId w:val="6"/>
  </w:num>
  <w:num w:numId="6">
    <w:abstractNumId w:val="0"/>
  </w:num>
  <w:num w:numId="7">
    <w:abstractNumId w:val="2"/>
  </w:num>
  <w:num w:numId="8">
    <w:abstractNumId w:val="8"/>
  </w:num>
  <w:num w:numId="9">
    <w:abstractNumId w:val="9"/>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doNotDisplayPageBoundaries w:val="1"/>
  <w:bordersDoNotSurroundHeader w:val="0"/>
  <w:bordersDoNotSurroundFooter w:val="0"/>
  <w:trackRevisions w:val="1"/>
  <w:documentProtection w:enforcement="0"/>
  <w:defaultTabStop w:val="7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AD"/>
    <w:rsid w:val="0000024E"/>
    <w:rsid w:val="00000673"/>
    <w:rsid w:val="000006A4"/>
    <w:rsid w:val="00000F10"/>
    <w:rsid w:val="0000143A"/>
    <w:rsid w:val="00001B6B"/>
    <w:rsid w:val="000020FF"/>
    <w:rsid w:val="0000233C"/>
    <w:rsid w:val="00002AC2"/>
    <w:rsid w:val="00002E58"/>
    <w:rsid w:val="00003174"/>
    <w:rsid w:val="00003258"/>
    <w:rsid w:val="00003708"/>
    <w:rsid w:val="000038E9"/>
    <w:rsid w:val="0000478E"/>
    <w:rsid w:val="00004ADA"/>
    <w:rsid w:val="00004CAD"/>
    <w:rsid w:val="00004CD6"/>
    <w:rsid w:val="00004D4A"/>
    <w:rsid w:val="00004FBC"/>
    <w:rsid w:val="000053D7"/>
    <w:rsid w:val="0000552C"/>
    <w:rsid w:val="00006751"/>
    <w:rsid w:val="00006ADB"/>
    <w:rsid w:val="00007695"/>
    <w:rsid w:val="00007E56"/>
    <w:rsid w:val="00007EC7"/>
    <w:rsid w:val="00010129"/>
    <w:rsid w:val="00010357"/>
    <w:rsid w:val="00010450"/>
    <w:rsid w:val="00010AD0"/>
    <w:rsid w:val="00010F96"/>
    <w:rsid w:val="00011255"/>
    <w:rsid w:val="00011A3D"/>
    <w:rsid w:val="00011DE0"/>
    <w:rsid w:val="00012153"/>
    <w:rsid w:val="0001222B"/>
    <w:rsid w:val="000122F2"/>
    <w:rsid w:val="0001249C"/>
    <w:rsid w:val="00012883"/>
    <w:rsid w:val="00012893"/>
    <w:rsid w:val="00012931"/>
    <w:rsid w:val="0001305C"/>
    <w:rsid w:val="0001384E"/>
    <w:rsid w:val="00013DB9"/>
    <w:rsid w:val="00014608"/>
    <w:rsid w:val="000146A9"/>
    <w:rsid w:val="00014D5E"/>
    <w:rsid w:val="0001533E"/>
    <w:rsid w:val="0001556E"/>
    <w:rsid w:val="000158D5"/>
    <w:rsid w:val="00015D9A"/>
    <w:rsid w:val="00015E9C"/>
    <w:rsid w:val="00016074"/>
    <w:rsid w:val="000161F8"/>
    <w:rsid w:val="00016B2E"/>
    <w:rsid w:val="00016C21"/>
    <w:rsid w:val="00016E37"/>
    <w:rsid w:val="00017B42"/>
    <w:rsid w:val="00020333"/>
    <w:rsid w:val="00020425"/>
    <w:rsid w:val="000205F7"/>
    <w:rsid w:val="00020A08"/>
    <w:rsid w:val="0002110F"/>
    <w:rsid w:val="00021498"/>
    <w:rsid w:val="0002159D"/>
    <w:rsid w:val="0002166D"/>
    <w:rsid w:val="000216D8"/>
    <w:rsid w:val="000218FA"/>
    <w:rsid w:val="000221CF"/>
    <w:rsid w:val="000225E0"/>
    <w:rsid w:val="00022B42"/>
    <w:rsid w:val="00022D81"/>
    <w:rsid w:val="00022D9B"/>
    <w:rsid w:val="000237BD"/>
    <w:rsid w:val="00023805"/>
    <w:rsid w:val="00023E27"/>
    <w:rsid w:val="000245D1"/>
    <w:rsid w:val="0002485B"/>
    <w:rsid w:val="00024A73"/>
    <w:rsid w:val="00024C73"/>
    <w:rsid w:val="00024CCB"/>
    <w:rsid w:val="00025A8B"/>
    <w:rsid w:val="00025BAF"/>
    <w:rsid w:val="00025CC8"/>
    <w:rsid w:val="00025D84"/>
    <w:rsid w:val="00025FB5"/>
    <w:rsid w:val="0002605D"/>
    <w:rsid w:val="00026376"/>
    <w:rsid w:val="000263E0"/>
    <w:rsid w:val="00026A4C"/>
    <w:rsid w:val="00026CF8"/>
    <w:rsid w:val="0002727B"/>
    <w:rsid w:val="00027549"/>
    <w:rsid w:val="00027E72"/>
    <w:rsid w:val="000302B9"/>
    <w:rsid w:val="00030979"/>
    <w:rsid w:val="00030D97"/>
    <w:rsid w:val="0003116E"/>
    <w:rsid w:val="00031587"/>
    <w:rsid w:val="000318F7"/>
    <w:rsid w:val="00031945"/>
    <w:rsid w:val="00031C54"/>
    <w:rsid w:val="000328CE"/>
    <w:rsid w:val="00032C2F"/>
    <w:rsid w:val="00032D79"/>
    <w:rsid w:val="000331E1"/>
    <w:rsid w:val="00033501"/>
    <w:rsid w:val="00033550"/>
    <w:rsid w:val="000335BC"/>
    <w:rsid w:val="000339DF"/>
    <w:rsid w:val="00033A56"/>
    <w:rsid w:val="00033F90"/>
    <w:rsid w:val="0003428C"/>
    <w:rsid w:val="00034461"/>
    <w:rsid w:val="00034A9C"/>
    <w:rsid w:val="000351DE"/>
    <w:rsid w:val="0003584D"/>
    <w:rsid w:val="00035AB7"/>
    <w:rsid w:val="000363C0"/>
    <w:rsid w:val="000364F6"/>
    <w:rsid w:val="00036A3C"/>
    <w:rsid w:val="000372AC"/>
    <w:rsid w:val="000377C6"/>
    <w:rsid w:val="00037B36"/>
    <w:rsid w:val="00037B68"/>
    <w:rsid w:val="00037BE2"/>
    <w:rsid w:val="0004040C"/>
    <w:rsid w:val="00040EF5"/>
    <w:rsid w:val="00041663"/>
    <w:rsid w:val="0004183B"/>
    <w:rsid w:val="000425B7"/>
    <w:rsid w:val="000425E4"/>
    <w:rsid w:val="00042A3A"/>
    <w:rsid w:val="00043032"/>
    <w:rsid w:val="00043FC9"/>
    <w:rsid w:val="00044A67"/>
    <w:rsid w:val="000451CD"/>
    <w:rsid w:val="00045217"/>
    <w:rsid w:val="000456C6"/>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459"/>
    <w:rsid w:val="00050C54"/>
    <w:rsid w:val="0005146D"/>
    <w:rsid w:val="00051FBF"/>
    <w:rsid w:val="000520E2"/>
    <w:rsid w:val="00052211"/>
    <w:rsid w:val="00052524"/>
    <w:rsid w:val="0005285F"/>
    <w:rsid w:val="00052C6E"/>
    <w:rsid w:val="00052D64"/>
    <w:rsid w:val="00052EDF"/>
    <w:rsid w:val="00053A64"/>
    <w:rsid w:val="00053C82"/>
    <w:rsid w:val="0005456A"/>
    <w:rsid w:val="000547FF"/>
    <w:rsid w:val="00054E4B"/>
    <w:rsid w:val="00054FA3"/>
    <w:rsid w:val="000554D6"/>
    <w:rsid w:val="000555B6"/>
    <w:rsid w:val="00055B52"/>
    <w:rsid w:val="00055CFD"/>
    <w:rsid w:val="00055D56"/>
    <w:rsid w:val="00055FD9"/>
    <w:rsid w:val="00056115"/>
    <w:rsid w:val="000561F5"/>
    <w:rsid w:val="00056C09"/>
    <w:rsid w:val="00057050"/>
    <w:rsid w:val="000573B1"/>
    <w:rsid w:val="00057F16"/>
    <w:rsid w:val="000603C5"/>
    <w:rsid w:val="00060A28"/>
    <w:rsid w:val="00060EF0"/>
    <w:rsid w:val="0006229F"/>
    <w:rsid w:val="00062535"/>
    <w:rsid w:val="000632DA"/>
    <w:rsid w:val="000635E2"/>
    <w:rsid w:val="0006367A"/>
    <w:rsid w:val="00063B95"/>
    <w:rsid w:val="00063CEA"/>
    <w:rsid w:val="000642E9"/>
    <w:rsid w:val="000644B3"/>
    <w:rsid w:val="00064C67"/>
    <w:rsid w:val="00064D07"/>
    <w:rsid w:val="000653E6"/>
    <w:rsid w:val="00065561"/>
    <w:rsid w:val="00065645"/>
    <w:rsid w:val="000656B1"/>
    <w:rsid w:val="00065D1B"/>
    <w:rsid w:val="00065FBD"/>
    <w:rsid w:val="0006638A"/>
    <w:rsid w:val="00066EE6"/>
    <w:rsid w:val="00066EFD"/>
    <w:rsid w:val="00067137"/>
    <w:rsid w:val="0006751A"/>
    <w:rsid w:val="00067B4E"/>
    <w:rsid w:val="00067F89"/>
    <w:rsid w:val="00070B9D"/>
    <w:rsid w:val="0007105C"/>
    <w:rsid w:val="0007128A"/>
    <w:rsid w:val="0007178A"/>
    <w:rsid w:val="00071853"/>
    <w:rsid w:val="00071B2E"/>
    <w:rsid w:val="000720E1"/>
    <w:rsid w:val="0007239C"/>
    <w:rsid w:val="0007294B"/>
    <w:rsid w:val="00072D70"/>
    <w:rsid w:val="00073220"/>
    <w:rsid w:val="00073B77"/>
    <w:rsid w:val="00074784"/>
    <w:rsid w:val="00074C4E"/>
    <w:rsid w:val="00074C9A"/>
    <w:rsid w:val="0007518A"/>
    <w:rsid w:val="00075737"/>
    <w:rsid w:val="00075A19"/>
    <w:rsid w:val="00075E90"/>
    <w:rsid w:val="00076E27"/>
    <w:rsid w:val="000770DD"/>
    <w:rsid w:val="000772A5"/>
    <w:rsid w:val="000772DE"/>
    <w:rsid w:val="00077580"/>
    <w:rsid w:val="000778B0"/>
    <w:rsid w:val="00077BBC"/>
    <w:rsid w:val="00077C64"/>
    <w:rsid w:val="00077E44"/>
    <w:rsid w:val="00077EAE"/>
    <w:rsid w:val="000807DA"/>
    <w:rsid w:val="00081633"/>
    <w:rsid w:val="00081A62"/>
    <w:rsid w:val="00082770"/>
    <w:rsid w:val="00083055"/>
    <w:rsid w:val="000830C1"/>
    <w:rsid w:val="0008323D"/>
    <w:rsid w:val="000832AB"/>
    <w:rsid w:val="00083466"/>
    <w:rsid w:val="0008383D"/>
    <w:rsid w:val="00083968"/>
    <w:rsid w:val="000839FC"/>
    <w:rsid w:val="000843EC"/>
    <w:rsid w:val="00084496"/>
    <w:rsid w:val="00084D5C"/>
    <w:rsid w:val="00084F43"/>
    <w:rsid w:val="000852E9"/>
    <w:rsid w:val="0008548D"/>
    <w:rsid w:val="00085538"/>
    <w:rsid w:val="00085A45"/>
    <w:rsid w:val="00085B2B"/>
    <w:rsid w:val="00085F75"/>
    <w:rsid w:val="00086065"/>
    <w:rsid w:val="000860DA"/>
    <w:rsid w:val="0008679B"/>
    <w:rsid w:val="00086892"/>
    <w:rsid w:val="00086A8F"/>
    <w:rsid w:val="00086DA3"/>
    <w:rsid w:val="00086EC1"/>
    <w:rsid w:val="000879FD"/>
    <w:rsid w:val="00087A68"/>
    <w:rsid w:val="00087C73"/>
    <w:rsid w:val="00090268"/>
    <w:rsid w:val="00090BF1"/>
    <w:rsid w:val="0009163E"/>
    <w:rsid w:val="0009192E"/>
    <w:rsid w:val="00092597"/>
    <w:rsid w:val="000925FC"/>
    <w:rsid w:val="00092877"/>
    <w:rsid w:val="000928B2"/>
    <w:rsid w:val="00092B21"/>
    <w:rsid w:val="00092F8C"/>
    <w:rsid w:val="000931B9"/>
    <w:rsid w:val="000937E6"/>
    <w:rsid w:val="00093A14"/>
    <w:rsid w:val="00094009"/>
    <w:rsid w:val="00094010"/>
    <w:rsid w:val="00094071"/>
    <w:rsid w:val="000943E6"/>
    <w:rsid w:val="00094801"/>
    <w:rsid w:val="000948F7"/>
    <w:rsid w:val="00094B04"/>
    <w:rsid w:val="00094D98"/>
    <w:rsid w:val="000953F9"/>
    <w:rsid w:val="00095B69"/>
    <w:rsid w:val="00095D9D"/>
    <w:rsid w:val="0009607D"/>
    <w:rsid w:val="000965F7"/>
    <w:rsid w:val="000966C6"/>
    <w:rsid w:val="00096B40"/>
    <w:rsid w:val="00096CE5"/>
    <w:rsid w:val="000973FF"/>
    <w:rsid w:val="00097864"/>
    <w:rsid w:val="000978A5"/>
    <w:rsid w:val="00097D07"/>
    <w:rsid w:val="000A0532"/>
    <w:rsid w:val="000A096B"/>
    <w:rsid w:val="000A0D74"/>
    <w:rsid w:val="000A0EAE"/>
    <w:rsid w:val="000A12D2"/>
    <w:rsid w:val="000A1673"/>
    <w:rsid w:val="000A1A14"/>
    <w:rsid w:val="000A1D16"/>
    <w:rsid w:val="000A21D4"/>
    <w:rsid w:val="000A2423"/>
    <w:rsid w:val="000A3280"/>
    <w:rsid w:val="000A3E2A"/>
    <w:rsid w:val="000A3F47"/>
    <w:rsid w:val="000A3FB0"/>
    <w:rsid w:val="000A4702"/>
    <w:rsid w:val="000A4864"/>
    <w:rsid w:val="000A4EF4"/>
    <w:rsid w:val="000A5AFC"/>
    <w:rsid w:val="000A5B65"/>
    <w:rsid w:val="000A67AC"/>
    <w:rsid w:val="000A6C2E"/>
    <w:rsid w:val="000A6F50"/>
    <w:rsid w:val="000A73C6"/>
    <w:rsid w:val="000A74E7"/>
    <w:rsid w:val="000A7C6D"/>
    <w:rsid w:val="000B0095"/>
    <w:rsid w:val="000B0365"/>
    <w:rsid w:val="000B0716"/>
    <w:rsid w:val="000B07B4"/>
    <w:rsid w:val="000B089C"/>
    <w:rsid w:val="000B0AE4"/>
    <w:rsid w:val="000B1139"/>
    <w:rsid w:val="000B1956"/>
    <w:rsid w:val="000B19D0"/>
    <w:rsid w:val="000B1C95"/>
    <w:rsid w:val="000B2063"/>
    <w:rsid w:val="000B2434"/>
    <w:rsid w:val="000B3C8B"/>
    <w:rsid w:val="000B3D05"/>
    <w:rsid w:val="000B3D3B"/>
    <w:rsid w:val="000B3DA2"/>
    <w:rsid w:val="000B3E3E"/>
    <w:rsid w:val="000B4313"/>
    <w:rsid w:val="000B43FC"/>
    <w:rsid w:val="000B4A3A"/>
    <w:rsid w:val="000B518A"/>
    <w:rsid w:val="000B5851"/>
    <w:rsid w:val="000B5931"/>
    <w:rsid w:val="000B5CBD"/>
    <w:rsid w:val="000B6014"/>
    <w:rsid w:val="000B60E7"/>
    <w:rsid w:val="000B635D"/>
    <w:rsid w:val="000B6596"/>
    <w:rsid w:val="000B6A81"/>
    <w:rsid w:val="000B74C5"/>
    <w:rsid w:val="000B764C"/>
    <w:rsid w:val="000B7D1A"/>
    <w:rsid w:val="000C0A29"/>
    <w:rsid w:val="000C0ABC"/>
    <w:rsid w:val="000C0B6F"/>
    <w:rsid w:val="000C0CE9"/>
    <w:rsid w:val="000C0D60"/>
    <w:rsid w:val="000C169F"/>
    <w:rsid w:val="000C20A7"/>
    <w:rsid w:val="000C241F"/>
    <w:rsid w:val="000C253F"/>
    <w:rsid w:val="000C25DF"/>
    <w:rsid w:val="000C2880"/>
    <w:rsid w:val="000C29B2"/>
    <w:rsid w:val="000C2B93"/>
    <w:rsid w:val="000C3030"/>
    <w:rsid w:val="000C390E"/>
    <w:rsid w:val="000C3ECB"/>
    <w:rsid w:val="000C404E"/>
    <w:rsid w:val="000C4966"/>
    <w:rsid w:val="000C529F"/>
    <w:rsid w:val="000C5326"/>
    <w:rsid w:val="000C5FC3"/>
    <w:rsid w:val="000C6AFD"/>
    <w:rsid w:val="000C6C55"/>
    <w:rsid w:val="000C6D71"/>
    <w:rsid w:val="000C7053"/>
    <w:rsid w:val="000C73C6"/>
    <w:rsid w:val="000C780F"/>
    <w:rsid w:val="000C781B"/>
    <w:rsid w:val="000D01F8"/>
    <w:rsid w:val="000D0513"/>
    <w:rsid w:val="000D08C6"/>
    <w:rsid w:val="000D1D31"/>
    <w:rsid w:val="000D2EE7"/>
    <w:rsid w:val="000D3146"/>
    <w:rsid w:val="000D4287"/>
    <w:rsid w:val="000D4EDA"/>
    <w:rsid w:val="000D5115"/>
    <w:rsid w:val="000D571E"/>
    <w:rsid w:val="000D5CCB"/>
    <w:rsid w:val="000D6174"/>
    <w:rsid w:val="000D6512"/>
    <w:rsid w:val="000D66BC"/>
    <w:rsid w:val="000D6DA5"/>
    <w:rsid w:val="000D6F8E"/>
    <w:rsid w:val="000D6FCF"/>
    <w:rsid w:val="000D7464"/>
    <w:rsid w:val="000D748B"/>
    <w:rsid w:val="000D78E1"/>
    <w:rsid w:val="000D7917"/>
    <w:rsid w:val="000D7A0D"/>
    <w:rsid w:val="000E018F"/>
    <w:rsid w:val="000E0837"/>
    <w:rsid w:val="000E0971"/>
    <w:rsid w:val="000E0A85"/>
    <w:rsid w:val="000E12F2"/>
    <w:rsid w:val="000E1769"/>
    <w:rsid w:val="000E1950"/>
    <w:rsid w:val="000E1A22"/>
    <w:rsid w:val="000E1D0C"/>
    <w:rsid w:val="000E1FD5"/>
    <w:rsid w:val="000E213E"/>
    <w:rsid w:val="000E26E0"/>
    <w:rsid w:val="000E2729"/>
    <w:rsid w:val="000E2C69"/>
    <w:rsid w:val="000E32F5"/>
    <w:rsid w:val="000E3341"/>
    <w:rsid w:val="000E33AB"/>
    <w:rsid w:val="000E36FE"/>
    <w:rsid w:val="000E3CAE"/>
    <w:rsid w:val="000E3D01"/>
    <w:rsid w:val="000E3DE8"/>
    <w:rsid w:val="000E4358"/>
    <w:rsid w:val="000E451F"/>
    <w:rsid w:val="000E4640"/>
    <w:rsid w:val="000E4B1C"/>
    <w:rsid w:val="000E4B3F"/>
    <w:rsid w:val="000E506B"/>
    <w:rsid w:val="000E51DD"/>
    <w:rsid w:val="000E5480"/>
    <w:rsid w:val="000E6009"/>
    <w:rsid w:val="000E6202"/>
    <w:rsid w:val="000E701E"/>
    <w:rsid w:val="000E723B"/>
    <w:rsid w:val="000E7BD2"/>
    <w:rsid w:val="000F03F3"/>
    <w:rsid w:val="000F0683"/>
    <w:rsid w:val="000F12BD"/>
    <w:rsid w:val="000F170B"/>
    <w:rsid w:val="000F187C"/>
    <w:rsid w:val="000F1C2F"/>
    <w:rsid w:val="000F20C2"/>
    <w:rsid w:val="000F24D2"/>
    <w:rsid w:val="000F2863"/>
    <w:rsid w:val="000F2CCB"/>
    <w:rsid w:val="000F3190"/>
    <w:rsid w:val="000F31F2"/>
    <w:rsid w:val="000F3AA8"/>
    <w:rsid w:val="000F3CDB"/>
    <w:rsid w:val="000F3ED7"/>
    <w:rsid w:val="000F3EDC"/>
    <w:rsid w:val="000F3F8C"/>
    <w:rsid w:val="000F41EE"/>
    <w:rsid w:val="000F4A0B"/>
    <w:rsid w:val="000F4E09"/>
    <w:rsid w:val="000F645C"/>
    <w:rsid w:val="000F6E24"/>
    <w:rsid w:val="000F76AD"/>
    <w:rsid w:val="000F7851"/>
    <w:rsid w:val="000F7D95"/>
    <w:rsid w:val="000F7EB2"/>
    <w:rsid w:val="001006AE"/>
    <w:rsid w:val="00100807"/>
    <w:rsid w:val="00100A87"/>
    <w:rsid w:val="0010107C"/>
    <w:rsid w:val="001012CE"/>
    <w:rsid w:val="0010131F"/>
    <w:rsid w:val="00101987"/>
    <w:rsid w:val="0010285C"/>
    <w:rsid w:val="001028A5"/>
    <w:rsid w:val="0010299A"/>
    <w:rsid w:val="00102B4B"/>
    <w:rsid w:val="00102BC4"/>
    <w:rsid w:val="00102DF3"/>
    <w:rsid w:val="001035E1"/>
    <w:rsid w:val="00103E6A"/>
    <w:rsid w:val="00104B9A"/>
    <w:rsid w:val="00104D68"/>
    <w:rsid w:val="0010516E"/>
    <w:rsid w:val="00105539"/>
    <w:rsid w:val="00105ED4"/>
    <w:rsid w:val="00106311"/>
    <w:rsid w:val="001064F0"/>
    <w:rsid w:val="00106640"/>
    <w:rsid w:val="00106D97"/>
    <w:rsid w:val="0010740F"/>
    <w:rsid w:val="00107903"/>
    <w:rsid w:val="00107A66"/>
    <w:rsid w:val="001105EB"/>
    <w:rsid w:val="00110683"/>
    <w:rsid w:val="00110855"/>
    <w:rsid w:val="00110A45"/>
    <w:rsid w:val="00110DE7"/>
    <w:rsid w:val="00110DFA"/>
    <w:rsid w:val="001119DD"/>
    <w:rsid w:val="00111D32"/>
    <w:rsid w:val="00111D40"/>
    <w:rsid w:val="00112199"/>
    <w:rsid w:val="00112218"/>
    <w:rsid w:val="001128AA"/>
    <w:rsid w:val="0011299E"/>
    <w:rsid w:val="001129CC"/>
    <w:rsid w:val="00112B5E"/>
    <w:rsid w:val="00112C74"/>
    <w:rsid w:val="0011327D"/>
    <w:rsid w:val="00113466"/>
    <w:rsid w:val="00113716"/>
    <w:rsid w:val="00113A42"/>
    <w:rsid w:val="0011426E"/>
    <w:rsid w:val="00114983"/>
    <w:rsid w:val="00114DAF"/>
    <w:rsid w:val="00114E7D"/>
    <w:rsid w:val="0011503A"/>
    <w:rsid w:val="00115232"/>
    <w:rsid w:val="001154C7"/>
    <w:rsid w:val="00115F21"/>
    <w:rsid w:val="00115FDD"/>
    <w:rsid w:val="00116578"/>
    <w:rsid w:val="00116B1E"/>
    <w:rsid w:val="00116B45"/>
    <w:rsid w:val="00117281"/>
    <w:rsid w:val="001174CF"/>
    <w:rsid w:val="001176E4"/>
    <w:rsid w:val="00117E8F"/>
    <w:rsid w:val="001202DE"/>
    <w:rsid w:val="00120F59"/>
    <w:rsid w:val="00121411"/>
    <w:rsid w:val="001216C5"/>
    <w:rsid w:val="00121774"/>
    <w:rsid w:val="001217DC"/>
    <w:rsid w:val="0012191D"/>
    <w:rsid w:val="001219B3"/>
    <w:rsid w:val="00121B1D"/>
    <w:rsid w:val="001224B7"/>
    <w:rsid w:val="00122814"/>
    <w:rsid w:val="0012313B"/>
    <w:rsid w:val="001232F1"/>
    <w:rsid w:val="0012334A"/>
    <w:rsid w:val="00123B6B"/>
    <w:rsid w:val="00123D36"/>
    <w:rsid w:val="00124A72"/>
    <w:rsid w:val="00124EE0"/>
    <w:rsid w:val="00125349"/>
    <w:rsid w:val="00125CF1"/>
    <w:rsid w:val="00126047"/>
    <w:rsid w:val="001261C0"/>
    <w:rsid w:val="001265CC"/>
    <w:rsid w:val="00126631"/>
    <w:rsid w:val="00126C20"/>
    <w:rsid w:val="00127259"/>
    <w:rsid w:val="001272AF"/>
    <w:rsid w:val="00127399"/>
    <w:rsid w:val="001276AF"/>
    <w:rsid w:val="001279FB"/>
    <w:rsid w:val="00127D68"/>
    <w:rsid w:val="00130439"/>
    <w:rsid w:val="00130467"/>
    <w:rsid w:val="0013074D"/>
    <w:rsid w:val="00130E46"/>
    <w:rsid w:val="00130EEA"/>
    <w:rsid w:val="00131220"/>
    <w:rsid w:val="00131592"/>
    <w:rsid w:val="001315C5"/>
    <w:rsid w:val="001315ED"/>
    <w:rsid w:val="00131BB7"/>
    <w:rsid w:val="00131F05"/>
    <w:rsid w:val="00131F68"/>
    <w:rsid w:val="00132659"/>
    <w:rsid w:val="00132679"/>
    <w:rsid w:val="001329BF"/>
    <w:rsid w:val="00134650"/>
    <w:rsid w:val="00135398"/>
    <w:rsid w:val="001353B7"/>
    <w:rsid w:val="001356D1"/>
    <w:rsid w:val="001359AC"/>
    <w:rsid w:val="00135B4C"/>
    <w:rsid w:val="00135BB8"/>
    <w:rsid w:val="00135E73"/>
    <w:rsid w:val="00135E74"/>
    <w:rsid w:val="00135ED7"/>
    <w:rsid w:val="00136A8B"/>
    <w:rsid w:val="00136D8A"/>
    <w:rsid w:val="00137094"/>
    <w:rsid w:val="00137A94"/>
    <w:rsid w:val="00137AB5"/>
    <w:rsid w:val="00140332"/>
    <w:rsid w:val="0014042B"/>
    <w:rsid w:val="00140AD4"/>
    <w:rsid w:val="00140E28"/>
    <w:rsid w:val="001417E1"/>
    <w:rsid w:val="00141815"/>
    <w:rsid w:val="0014189A"/>
    <w:rsid w:val="00141AD0"/>
    <w:rsid w:val="00142347"/>
    <w:rsid w:val="00142368"/>
    <w:rsid w:val="0014267D"/>
    <w:rsid w:val="001426C2"/>
    <w:rsid w:val="00142C47"/>
    <w:rsid w:val="00142DAE"/>
    <w:rsid w:val="00143412"/>
    <w:rsid w:val="0014375B"/>
    <w:rsid w:val="0014424C"/>
    <w:rsid w:val="00144588"/>
    <w:rsid w:val="00144610"/>
    <w:rsid w:val="00144CE5"/>
    <w:rsid w:val="00145850"/>
    <w:rsid w:val="0014593F"/>
    <w:rsid w:val="001459F2"/>
    <w:rsid w:val="00145CF4"/>
    <w:rsid w:val="001460B8"/>
    <w:rsid w:val="00146358"/>
    <w:rsid w:val="001466EE"/>
    <w:rsid w:val="0014680E"/>
    <w:rsid w:val="00146AB1"/>
    <w:rsid w:val="00146F80"/>
    <w:rsid w:val="001479E3"/>
    <w:rsid w:val="00147A6A"/>
    <w:rsid w:val="00147F46"/>
    <w:rsid w:val="0015022C"/>
    <w:rsid w:val="0015095C"/>
    <w:rsid w:val="00150D37"/>
    <w:rsid w:val="00150D7D"/>
    <w:rsid w:val="00151189"/>
    <w:rsid w:val="00151C2D"/>
    <w:rsid w:val="00151C8A"/>
    <w:rsid w:val="00151D2E"/>
    <w:rsid w:val="00151E6D"/>
    <w:rsid w:val="001520D6"/>
    <w:rsid w:val="001523AB"/>
    <w:rsid w:val="00153115"/>
    <w:rsid w:val="001533B9"/>
    <w:rsid w:val="001536E6"/>
    <w:rsid w:val="001538CD"/>
    <w:rsid w:val="00153999"/>
    <w:rsid w:val="00153E22"/>
    <w:rsid w:val="0015454F"/>
    <w:rsid w:val="00154637"/>
    <w:rsid w:val="001546A9"/>
    <w:rsid w:val="0015491C"/>
    <w:rsid w:val="00154ACD"/>
    <w:rsid w:val="0015572D"/>
    <w:rsid w:val="00155A38"/>
    <w:rsid w:val="00155C03"/>
    <w:rsid w:val="00155CF6"/>
    <w:rsid w:val="00156253"/>
    <w:rsid w:val="00156478"/>
    <w:rsid w:val="00156EDD"/>
    <w:rsid w:val="001575EC"/>
    <w:rsid w:val="00157820"/>
    <w:rsid w:val="00157868"/>
    <w:rsid w:val="0016001A"/>
    <w:rsid w:val="00160306"/>
    <w:rsid w:val="0016039E"/>
    <w:rsid w:val="0016060B"/>
    <w:rsid w:val="0016070F"/>
    <w:rsid w:val="0016181E"/>
    <w:rsid w:val="00162A56"/>
    <w:rsid w:val="00162F5E"/>
    <w:rsid w:val="00163B33"/>
    <w:rsid w:val="00163E5E"/>
    <w:rsid w:val="00164219"/>
    <w:rsid w:val="0016470C"/>
    <w:rsid w:val="00164AAC"/>
    <w:rsid w:val="001652AE"/>
    <w:rsid w:val="00165409"/>
    <w:rsid w:val="0016597A"/>
    <w:rsid w:val="00165D9D"/>
    <w:rsid w:val="00165F76"/>
    <w:rsid w:val="0016630D"/>
    <w:rsid w:val="00166B0D"/>
    <w:rsid w:val="001670C3"/>
    <w:rsid w:val="001672C3"/>
    <w:rsid w:val="00167BA9"/>
    <w:rsid w:val="00167E53"/>
    <w:rsid w:val="00170211"/>
    <w:rsid w:val="001702A2"/>
    <w:rsid w:val="00170388"/>
    <w:rsid w:val="001706D3"/>
    <w:rsid w:val="00170BFF"/>
    <w:rsid w:val="00170DD8"/>
    <w:rsid w:val="00170E88"/>
    <w:rsid w:val="001710CE"/>
    <w:rsid w:val="00171201"/>
    <w:rsid w:val="00171744"/>
    <w:rsid w:val="00171AA3"/>
    <w:rsid w:val="001724D2"/>
    <w:rsid w:val="001729DF"/>
    <w:rsid w:val="00172A27"/>
    <w:rsid w:val="00172B79"/>
    <w:rsid w:val="00172DF5"/>
    <w:rsid w:val="001730BC"/>
    <w:rsid w:val="00173315"/>
    <w:rsid w:val="0017392D"/>
    <w:rsid w:val="00173C7F"/>
    <w:rsid w:val="00173FD9"/>
    <w:rsid w:val="0017434C"/>
    <w:rsid w:val="00174399"/>
    <w:rsid w:val="001749CC"/>
    <w:rsid w:val="00174AA8"/>
    <w:rsid w:val="00174B42"/>
    <w:rsid w:val="00174BDC"/>
    <w:rsid w:val="00174BF8"/>
    <w:rsid w:val="00175020"/>
    <w:rsid w:val="0017542F"/>
    <w:rsid w:val="00175768"/>
    <w:rsid w:val="001759AB"/>
    <w:rsid w:val="00175A76"/>
    <w:rsid w:val="00175A96"/>
    <w:rsid w:val="0017616E"/>
    <w:rsid w:val="0017637E"/>
    <w:rsid w:val="001763C5"/>
    <w:rsid w:val="001766C4"/>
    <w:rsid w:val="0017706B"/>
    <w:rsid w:val="00177259"/>
    <w:rsid w:val="00177DC5"/>
    <w:rsid w:val="0018067B"/>
    <w:rsid w:val="00180D3D"/>
    <w:rsid w:val="0018130F"/>
    <w:rsid w:val="00181939"/>
    <w:rsid w:val="001819F3"/>
    <w:rsid w:val="00181BA5"/>
    <w:rsid w:val="0018203A"/>
    <w:rsid w:val="00182202"/>
    <w:rsid w:val="00182597"/>
    <w:rsid w:val="0018270C"/>
    <w:rsid w:val="0018294B"/>
    <w:rsid w:val="00182A66"/>
    <w:rsid w:val="00182D7E"/>
    <w:rsid w:val="00182F73"/>
    <w:rsid w:val="00182FF3"/>
    <w:rsid w:val="00183000"/>
    <w:rsid w:val="001831C7"/>
    <w:rsid w:val="001831E5"/>
    <w:rsid w:val="00183558"/>
    <w:rsid w:val="0018443C"/>
    <w:rsid w:val="00184B7F"/>
    <w:rsid w:val="00184BA9"/>
    <w:rsid w:val="00184D44"/>
    <w:rsid w:val="00185151"/>
    <w:rsid w:val="001857DA"/>
    <w:rsid w:val="00185F9F"/>
    <w:rsid w:val="001864B7"/>
    <w:rsid w:val="00186B67"/>
    <w:rsid w:val="00186CC2"/>
    <w:rsid w:val="00187E71"/>
    <w:rsid w:val="0019006D"/>
    <w:rsid w:val="00190722"/>
    <w:rsid w:val="0019077D"/>
    <w:rsid w:val="00190864"/>
    <w:rsid w:val="00190A53"/>
    <w:rsid w:val="00190A72"/>
    <w:rsid w:val="00190B83"/>
    <w:rsid w:val="00190D9B"/>
    <w:rsid w:val="00190EDD"/>
    <w:rsid w:val="00191BEE"/>
    <w:rsid w:val="00191C1D"/>
    <w:rsid w:val="00191F35"/>
    <w:rsid w:val="00192870"/>
    <w:rsid w:val="00192939"/>
    <w:rsid w:val="0019294D"/>
    <w:rsid w:val="0019337A"/>
    <w:rsid w:val="0019383C"/>
    <w:rsid w:val="00193896"/>
    <w:rsid w:val="00193F68"/>
    <w:rsid w:val="001940BD"/>
    <w:rsid w:val="001944A1"/>
    <w:rsid w:val="001945FA"/>
    <w:rsid w:val="00194835"/>
    <w:rsid w:val="00194E5A"/>
    <w:rsid w:val="00194F05"/>
    <w:rsid w:val="00195381"/>
    <w:rsid w:val="00195550"/>
    <w:rsid w:val="00195705"/>
    <w:rsid w:val="001957B5"/>
    <w:rsid w:val="00196252"/>
    <w:rsid w:val="00196DC2"/>
    <w:rsid w:val="001978CD"/>
    <w:rsid w:val="001A012E"/>
    <w:rsid w:val="001A028B"/>
    <w:rsid w:val="001A0A82"/>
    <w:rsid w:val="001A12CA"/>
    <w:rsid w:val="001A151B"/>
    <w:rsid w:val="001A1588"/>
    <w:rsid w:val="001A1801"/>
    <w:rsid w:val="001A2830"/>
    <w:rsid w:val="001A29E6"/>
    <w:rsid w:val="001A3361"/>
    <w:rsid w:val="001A3575"/>
    <w:rsid w:val="001A4731"/>
    <w:rsid w:val="001A4768"/>
    <w:rsid w:val="001A4B54"/>
    <w:rsid w:val="001A5125"/>
    <w:rsid w:val="001A53AB"/>
    <w:rsid w:val="001A55A3"/>
    <w:rsid w:val="001A5ABC"/>
    <w:rsid w:val="001A6752"/>
    <w:rsid w:val="001A7B7B"/>
    <w:rsid w:val="001A7E4D"/>
    <w:rsid w:val="001B085D"/>
    <w:rsid w:val="001B0A6E"/>
    <w:rsid w:val="001B0FFE"/>
    <w:rsid w:val="001B116E"/>
    <w:rsid w:val="001B11BC"/>
    <w:rsid w:val="001B15F9"/>
    <w:rsid w:val="001B1614"/>
    <w:rsid w:val="001B1AF6"/>
    <w:rsid w:val="001B1AFC"/>
    <w:rsid w:val="001B1BCF"/>
    <w:rsid w:val="001B1DE5"/>
    <w:rsid w:val="001B22B8"/>
    <w:rsid w:val="001B23AB"/>
    <w:rsid w:val="001B2459"/>
    <w:rsid w:val="001B25DF"/>
    <w:rsid w:val="001B2E02"/>
    <w:rsid w:val="001B2EFB"/>
    <w:rsid w:val="001B3721"/>
    <w:rsid w:val="001B3907"/>
    <w:rsid w:val="001B39B9"/>
    <w:rsid w:val="001B3ACE"/>
    <w:rsid w:val="001B46E9"/>
    <w:rsid w:val="001B4814"/>
    <w:rsid w:val="001B4884"/>
    <w:rsid w:val="001B4A66"/>
    <w:rsid w:val="001B4D38"/>
    <w:rsid w:val="001B5761"/>
    <w:rsid w:val="001B58E6"/>
    <w:rsid w:val="001B5978"/>
    <w:rsid w:val="001B5EC6"/>
    <w:rsid w:val="001B5F6F"/>
    <w:rsid w:val="001B62E9"/>
    <w:rsid w:val="001B6794"/>
    <w:rsid w:val="001B6A3F"/>
    <w:rsid w:val="001B6C9C"/>
    <w:rsid w:val="001B6CCB"/>
    <w:rsid w:val="001B6FBC"/>
    <w:rsid w:val="001B738C"/>
    <w:rsid w:val="001B7525"/>
    <w:rsid w:val="001C0069"/>
    <w:rsid w:val="001C026F"/>
    <w:rsid w:val="001C028B"/>
    <w:rsid w:val="001C04B1"/>
    <w:rsid w:val="001C1034"/>
    <w:rsid w:val="001C1358"/>
    <w:rsid w:val="001C16B7"/>
    <w:rsid w:val="001C16F9"/>
    <w:rsid w:val="001C216A"/>
    <w:rsid w:val="001C2C4F"/>
    <w:rsid w:val="001C2C96"/>
    <w:rsid w:val="001C3341"/>
    <w:rsid w:val="001C3DEB"/>
    <w:rsid w:val="001C4A08"/>
    <w:rsid w:val="001C534E"/>
    <w:rsid w:val="001C54C3"/>
    <w:rsid w:val="001C5EBF"/>
    <w:rsid w:val="001C5F0E"/>
    <w:rsid w:val="001C60EE"/>
    <w:rsid w:val="001C7D93"/>
    <w:rsid w:val="001D000E"/>
    <w:rsid w:val="001D03FE"/>
    <w:rsid w:val="001D0526"/>
    <w:rsid w:val="001D05D2"/>
    <w:rsid w:val="001D0B22"/>
    <w:rsid w:val="001D1453"/>
    <w:rsid w:val="001D18C1"/>
    <w:rsid w:val="001D272F"/>
    <w:rsid w:val="001D282C"/>
    <w:rsid w:val="001D28E5"/>
    <w:rsid w:val="001D2A58"/>
    <w:rsid w:val="001D2CD2"/>
    <w:rsid w:val="001D2F78"/>
    <w:rsid w:val="001D3067"/>
    <w:rsid w:val="001D3191"/>
    <w:rsid w:val="001D3369"/>
    <w:rsid w:val="001D3839"/>
    <w:rsid w:val="001D38A1"/>
    <w:rsid w:val="001D3BB9"/>
    <w:rsid w:val="001D3CC9"/>
    <w:rsid w:val="001D3EAA"/>
    <w:rsid w:val="001D3FB0"/>
    <w:rsid w:val="001D4052"/>
    <w:rsid w:val="001D43F4"/>
    <w:rsid w:val="001D4431"/>
    <w:rsid w:val="001D4786"/>
    <w:rsid w:val="001D5032"/>
    <w:rsid w:val="001D575A"/>
    <w:rsid w:val="001D5954"/>
    <w:rsid w:val="001D5D0E"/>
    <w:rsid w:val="001D615A"/>
    <w:rsid w:val="001D62EA"/>
    <w:rsid w:val="001D687A"/>
    <w:rsid w:val="001D68F0"/>
    <w:rsid w:val="001D6EAC"/>
    <w:rsid w:val="001D7AB5"/>
    <w:rsid w:val="001D7F74"/>
    <w:rsid w:val="001E0400"/>
    <w:rsid w:val="001E04E1"/>
    <w:rsid w:val="001E0932"/>
    <w:rsid w:val="001E0EC6"/>
    <w:rsid w:val="001E10AF"/>
    <w:rsid w:val="001E1188"/>
    <w:rsid w:val="001E19A9"/>
    <w:rsid w:val="001E1B07"/>
    <w:rsid w:val="001E1FB7"/>
    <w:rsid w:val="001E2393"/>
    <w:rsid w:val="001E272D"/>
    <w:rsid w:val="001E284B"/>
    <w:rsid w:val="001E2917"/>
    <w:rsid w:val="001E3661"/>
    <w:rsid w:val="001E3CB1"/>
    <w:rsid w:val="001E409D"/>
    <w:rsid w:val="001E4329"/>
    <w:rsid w:val="001E44B6"/>
    <w:rsid w:val="001E46D7"/>
    <w:rsid w:val="001E486A"/>
    <w:rsid w:val="001E4C62"/>
    <w:rsid w:val="001E4FE3"/>
    <w:rsid w:val="001E516F"/>
    <w:rsid w:val="001E52AF"/>
    <w:rsid w:val="001E582F"/>
    <w:rsid w:val="001E58AF"/>
    <w:rsid w:val="001E5A5B"/>
    <w:rsid w:val="001E5A6A"/>
    <w:rsid w:val="001E63D6"/>
    <w:rsid w:val="001E6AA0"/>
    <w:rsid w:val="001E6FF5"/>
    <w:rsid w:val="001E76DF"/>
    <w:rsid w:val="001F0925"/>
    <w:rsid w:val="001F0999"/>
    <w:rsid w:val="001F0A1A"/>
    <w:rsid w:val="001F0C47"/>
    <w:rsid w:val="001F0DB0"/>
    <w:rsid w:val="001F0E89"/>
    <w:rsid w:val="001F0FBD"/>
    <w:rsid w:val="001F111C"/>
    <w:rsid w:val="001F1396"/>
    <w:rsid w:val="001F1520"/>
    <w:rsid w:val="001F1EC3"/>
    <w:rsid w:val="001F2659"/>
    <w:rsid w:val="001F2E65"/>
    <w:rsid w:val="001F349F"/>
    <w:rsid w:val="001F34E0"/>
    <w:rsid w:val="001F358E"/>
    <w:rsid w:val="001F367A"/>
    <w:rsid w:val="001F3DBB"/>
    <w:rsid w:val="001F44A2"/>
    <w:rsid w:val="001F4F77"/>
    <w:rsid w:val="001F4F95"/>
    <w:rsid w:val="001F5079"/>
    <w:rsid w:val="001F51F3"/>
    <w:rsid w:val="001F53E6"/>
    <w:rsid w:val="001F55DF"/>
    <w:rsid w:val="001F57FA"/>
    <w:rsid w:val="001F5F48"/>
    <w:rsid w:val="001F60A2"/>
    <w:rsid w:val="001F6C50"/>
    <w:rsid w:val="001F74D9"/>
    <w:rsid w:val="001F7A12"/>
    <w:rsid w:val="001F7D56"/>
    <w:rsid w:val="001F7FE2"/>
    <w:rsid w:val="0020084F"/>
    <w:rsid w:val="00200877"/>
    <w:rsid w:val="002009EA"/>
    <w:rsid w:val="00200BC4"/>
    <w:rsid w:val="00200FD2"/>
    <w:rsid w:val="00201D2E"/>
    <w:rsid w:val="00201E5A"/>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652D"/>
    <w:rsid w:val="0020654A"/>
    <w:rsid w:val="00206657"/>
    <w:rsid w:val="0020668C"/>
    <w:rsid w:val="002069B2"/>
    <w:rsid w:val="002069CB"/>
    <w:rsid w:val="00206E43"/>
    <w:rsid w:val="00206E5C"/>
    <w:rsid w:val="00206F81"/>
    <w:rsid w:val="00207316"/>
    <w:rsid w:val="0020738A"/>
    <w:rsid w:val="00207551"/>
    <w:rsid w:val="00207616"/>
    <w:rsid w:val="00207B8A"/>
    <w:rsid w:val="00210708"/>
    <w:rsid w:val="00210B50"/>
    <w:rsid w:val="00211422"/>
    <w:rsid w:val="00211710"/>
    <w:rsid w:val="0021172C"/>
    <w:rsid w:val="0021173B"/>
    <w:rsid w:val="002118E2"/>
    <w:rsid w:val="00211DCC"/>
    <w:rsid w:val="00211E88"/>
    <w:rsid w:val="00212007"/>
    <w:rsid w:val="0021234C"/>
    <w:rsid w:val="0021275F"/>
    <w:rsid w:val="002127F6"/>
    <w:rsid w:val="00212833"/>
    <w:rsid w:val="002129F0"/>
    <w:rsid w:val="00212A1E"/>
    <w:rsid w:val="00212C85"/>
    <w:rsid w:val="00212D3D"/>
    <w:rsid w:val="00212F4E"/>
    <w:rsid w:val="00213888"/>
    <w:rsid w:val="00213CB9"/>
    <w:rsid w:val="0021403B"/>
    <w:rsid w:val="0021433F"/>
    <w:rsid w:val="002149AC"/>
    <w:rsid w:val="00214DF0"/>
    <w:rsid w:val="00215769"/>
    <w:rsid w:val="002157B1"/>
    <w:rsid w:val="00215991"/>
    <w:rsid w:val="00215B0C"/>
    <w:rsid w:val="00215FA8"/>
    <w:rsid w:val="00216122"/>
    <w:rsid w:val="00216959"/>
    <w:rsid w:val="00216B41"/>
    <w:rsid w:val="00216DB5"/>
    <w:rsid w:val="00216F9E"/>
    <w:rsid w:val="002173B6"/>
    <w:rsid w:val="00220053"/>
    <w:rsid w:val="002202F8"/>
    <w:rsid w:val="00220410"/>
    <w:rsid w:val="002208AE"/>
    <w:rsid w:val="002209FB"/>
    <w:rsid w:val="00220B3A"/>
    <w:rsid w:val="00220C41"/>
    <w:rsid w:val="00221023"/>
    <w:rsid w:val="00221460"/>
    <w:rsid w:val="00221536"/>
    <w:rsid w:val="0022156E"/>
    <w:rsid w:val="00221712"/>
    <w:rsid w:val="00222A2A"/>
    <w:rsid w:val="00222AD2"/>
    <w:rsid w:val="00223D51"/>
    <w:rsid w:val="002245FE"/>
    <w:rsid w:val="0022487C"/>
    <w:rsid w:val="00225098"/>
    <w:rsid w:val="00225181"/>
    <w:rsid w:val="00225E97"/>
    <w:rsid w:val="00227F54"/>
    <w:rsid w:val="0023016B"/>
    <w:rsid w:val="00230D24"/>
    <w:rsid w:val="002316C7"/>
    <w:rsid w:val="00231AE1"/>
    <w:rsid w:val="00231EEA"/>
    <w:rsid w:val="00231F68"/>
    <w:rsid w:val="0023212A"/>
    <w:rsid w:val="00232B94"/>
    <w:rsid w:val="00233473"/>
    <w:rsid w:val="00233B36"/>
    <w:rsid w:val="00234482"/>
    <w:rsid w:val="00234855"/>
    <w:rsid w:val="00234E25"/>
    <w:rsid w:val="00235165"/>
    <w:rsid w:val="002353B7"/>
    <w:rsid w:val="0023593B"/>
    <w:rsid w:val="002359F8"/>
    <w:rsid w:val="00235CA9"/>
    <w:rsid w:val="00235D6C"/>
    <w:rsid w:val="002362E6"/>
    <w:rsid w:val="002362EB"/>
    <w:rsid w:val="0023634F"/>
    <w:rsid w:val="00236751"/>
    <w:rsid w:val="002370B1"/>
    <w:rsid w:val="00237135"/>
    <w:rsid w:val="00237C07"/>
    <w:rsid w:val="00240349"/>
    <w:rsid w:val="002404CC"/>
    <w:rsid w:val="00240807"/>
    <w:rsid w:val="00240990"/>
    <w:rsid w:val="00241289"/>
    <w:rsid w:val="00241C69"/>
    <w:rsid w:val="00241F8D"/>
    <w:rsid w:val="002420B1"/>
    <w:rsid w:val="00242165"/>
    <w:rsid w:val="00242396"/>
    <w:rsid w:val="0024297D"/>
    <w:rsid w:val="002429BB"/>
    <w:rsid w:val="00242F62"/>
    <w:rsid w:val="00243247"/>
    <w:rsid w:val="002434BE"/>
    <w:rsid w:val="002435D6"/>
    <w:rsid w:val="00243681"/>
    <w:rsid w:val="002437E8"/>
    <w:rsid w:val="00243D10"/>
    <w:rsid w:val="00243F2F"/>
    <w:rsid w:val="00243FD5"/>
    <w:rsid w:val="002446DF"/>
    <w:rsid w:val="002448F0"/>
    <w:rsid w:val="002454F4"/>
    <w:rsid w:val="00245763"/>
    <w:rsid w:val="00245A6C"/>
    <w:rsid w:val="00245F38"/>
    <w:rsid w:val="00245F76"/>
    <w:rsid w:val="002466AE"/>
    <w:rsid w:val="00246AD1"/>
    <w:rsid w:val="00247968"/>
    <w:rsid w:val="00247DF2"/>
    <w:rsid w:val="00247F52"/>
    <w:rsid w:val="00250572"/>
    <w:rsid w:val="00251089"/>
    <w:rsid w:val="0025150E"/>
    <w:rsid w:val="00251AAE"/>
    <w:rsid w:val="00251CA8"/>
    <w:rsid w:val="00251E90"/>
    <w:rsid w:val="002525FA"/>
    <w:rsid w:val="002526B9"/>
    <w:rsid w:val="002526DB"/>
    <w:rsid w:val="00252BD8"/>
    <w:rsid w:val="00253D66"/>
    <w:rsid w:val="00253F60"/>
    <w:rsid w:val="00254E4E"/>
    <w:rsid w:val="002553E6"/>
    <w:rsid w:val="0025542F"/>
    <w:rsid w:val="0025557A"/>
    <w:rsid w:val="0025574C"/>
    <w:rsid w:val="00255990"/>
    <w:rsid w:val="00255B30"/>
    <w:rsid w:val="00255C1C"/>
    <w:rsid w:val="00255E50"/>
    <w:rsid w:val="002567B9"/>
    <w:rsid w:val="00257C4C"/>
    <w:rsid w:val="00257ECA"/>
    <w:rsid w:val="00257FE2"/>
    <w:rsid w:val="00260738"/>
    <w:rsid w:val="00260837"/>
    <w:rsid w:val="0026098D"/>
    <w:rsid w:val="00260A63"/>
    <w:rsid w:val="00260E04"/>
    <w:rsid w:val="002614CD"/>
    <w:rsid w:val="00261557"/>
    <w:rsid w:val="00261CE9"/>
    <w:rsid w:val="0026210F"/>
    <w:rsid w:val="0026231B"/>
    <w:rsid w:val="0026248C"/>
    <w:rsid w:val="00262E3E"/>
    <w:rsid w:val="00263373"/>
    <w:rsid w:val="0026342F"/>
    <w:rsid w:val="0026358C"/>
    <w:rsid w:val="002639A7"/>
    <w:rsid w:val="00263C1A"/>
    <w:rsid w:val="00263CDF"/>
    <w:rsid w:val="002641CC"/>
    <w:rsid w:val="00264869"/>
    <w:rsid w:val="00264982"/>
    <w:rsid w:val="002653BD"/>
    <w:rsid w:val="00266462"/>
    <w:rsid w:val="002667F5"/>
    <w:rsid w:val="00266A12"/>
    <w:rsid w:val="00267622"/>
    <w:rsid w:val="002678F8"/>
    <w:rsid w:val="00267CB2"/>
    <w:rsid w:val="00267D6D"/>
    <w:rsid w:val="00267E53"/>
    <w:rsid w:val="00267E65"/>
    <w:rsid w:val="00267FF0"/>
    <w:rsid w:val="00270198"/>
    <w:rsid w:val="00270456"/>
    <w:rsid w:val="00270820"/>
    <w:rsid w:val="00270C8D"/>
    <w:rsid w:val="00271236"/>
    <w:rsid w:val="00271C16"/>
    <w:rsid w:val="00271FA8"/>
    <w:rsid w:val="00272B85"/>
    <w:rsid w:val="00272D6F"/>
    <w:rsid w:val="00273000"/>
    <w:rsid w:val="00273390"/>
    <w:rsid w:val="00273777"/>
    <w:rsid w:val="00273840"/>
    <w:rsid w:val="00273A8D"/>
    <w:rsid w:val="00273D02"/>
    <w:rsid w:val="00273DFF"/>
    <w:rsid w:val="00273FF6"/>
    <w:rsid w:val="0027405A"/>
    <w:rsid w:val="0027434A"/>
    <w:rsid w:val="002744B4"/>
    <w:rsid w:val="002746BC"/>
    <w:rsid w:val="002748B1"/>
    <w:rsid w:val="002748FE"/>
    <w:rsid w:val="00274D16"/>
    <w:rsid w:val="00274F2A"/>
    <w:rsid w:val="00274F6F"/>
    <w:rsid w:val="002751F2"/>
    <w:rsid w:val="00275255"/>
    <w:rsid w:val="0027549D"/>
    <w:rsid w:val="00275EFB"/>
    <w:rsid w:val="002763BC"/>
    <w:rsid w:val="00276773"/>
    <w:rsid w:val="0027715E"/>
    <w:rsid w:val="00277DE8"/>
    <w:rsid w:val="002806B3"/>
    <w:rsid w:val="00281052"/>
    <w:rsid w:val="002811D1"/>
    <w:rsid w:val="0028137A"/>
    <w:rsid w:val="002814E5"/>
    <w:rsid w:val="00281860"/>
    <w:rsid w:val="002822BE"/>
    <w:rsid w:val="00282746"/>
    <w:rsid w:val="002827F7"/>
    <w:rsid w:val="002828D6"/>
    <w:rsid w:val="00282C0B"/>
    <w:rsid w:val="00282CD5"/>
    <w:rsid w:val="002839DE"/>
    <w:rsid w:val="002843D6"/>
    <w:rsid w:val="0028498A"/>
    <w:rsid w:val="00284D2B"/>
    <w:rsid w:val="00284DB7"/>
    <w:rsid w:val="002859FF"/>
    <w:rsid w:val="00285F40"/>
    <w:rsid w:val="00286393"/>
    <w:rsid w:val="00286602"/>
    <w:rsid w:val="0028674B"/>
    <w:rsid w:val="00286859"/>
    <w:rsid w:val="00286C4D"/>
    <w:rsid w:val="002871B9"/>
    <w:rsid w:val="002872D8"/>
    <w:rsid w:val="0028732E"/>
    <w:rsid w:val="002876F7"/>
    <w:rsid w:val="002877D4"/>
    <w:rsid w:val="002878C5"/>
    <w:rsid w:val="002900EB"/>
    <w:rsid w:val="002908E9"/>
    <w:rsid w:val="00290930"/>
    <w:rsid w:val="00290B2A"/>
    <w:rsid w:val="00291030"/>
    <w:rsid w:val="00291385"/>
    <w:rsid w:val="00291720"/>
    <w:rsid w:val="00291C69"/>
    <w:rsid w:val="00291CE3"/>
    <w:rsid w:val="002926E3"/>
    <w:rsid w:val="00292AE5"/>
    <w:rsid w:val="00292EB2"/>
    <w:rsid w:val="00293595"/>
    <w:rsid w:val="00293ADA"/>
    <w:rsid w:val="00293DB1"/>
    <w:rsid w:val="0029401F"/>
    <w:rsid w:val="002944E5"/>
    <w:rsid w:val="00294611"/>
    <w:rsid w:val="0029470C"/>
    <w:rsid w:val="00294876"/>
    <w:rsid w:val="00294AA3"/>
    <w:rsid w:val="00294C45"/>
    <w:rsid w:val="00295038"/>
    <w:rsid w:val="00295107"/>
    <w:rsid w:val="00295DFD"/>
    <w:rsid w:val="00295E5D"/>
    <w:rsid w:val="0029606B"/>
    <w:rsid w:val="00296815"/>
    <w:rsid w:val="0029699D"/>
    <w:rsid w:val="00296BA7"/>
    <w:rsid w:val="002971C7"/>
    <w:rsid w:val="0029780A"/>
    <w:rsid w:val="00297A5F"/>
    <w:rsid w:val="002A04A3"/>
    <w:rsid w:val="002A119D"/>
    <w:rsid w:val="002A1368"/>
    <w:rsid w:val="002A15B6"/>
    <w:rsid w:val="002A1874"/>
    <w:rsid w:val="002A1D93"/>
    <w:rsid w:val="002A222D"/>
    <w:rsid w:val="002A2690"/>
    <w:rsid w:val="002A2A26"/>
    <w:rsid w:val="002A2AE2"/>
    <w:rsid w:val="002A36CB"/>
    <w:rsid w:val="002A3A26"/>
    <w:rsid w:val="002A3C60"/>
    <w:rsid w:val="002A3CBB"/>
    <w:rsid w:val="002A3CBC"/>
    <w:rsid w:val="002A3E95"/>
    <w:rsid w:val="002A420D"/>
    <w:rsid w:val="002A4D92"/>
    <w:rsid w:val="002A54B2"/>
    <w:rsid w:val="002A55A7"/>
    <w:rsid w:val="002A587F"/>
    <w:rsid w:val="002A59C3"/>
    <w:rsid w:val="002A5D16"/>
    <w:rsid w:val="002A5DD9"/>
    <w:rsid w:val="002A5FB7"/>
    <w:rsid w:val="002A6335"/>
    <w:rsid w:val="002A6AAE"/>
    <w:rsid w:val="002A6B7B"/>
    <w:rsid w:val="002A72C5"/>
    <w:rsid w:val="002A7E2B"/>
    <w:rsid w:val="002B06A7"/>
    <w:rsid w:val="002B0B53"/>
    <w:rsid w:val="002B0F19"/>
    <w:rsid w:val="002B1003"/>
    <w:rsid w:val="002B103C"/>
    <w:rsid w:val="002B1495"/>
    <w:rsid w:val="002B2D70"/>
    <w:rsid w:val="002B4572"/>
    <w:rsid w:val="002B4FA4"/>
    <w:rsid w:val="002B5296"/>
    <w:rsid w:val="002B52D1"/>
    <w:rsid w:val="002B5852"/>
    <w:rsid w:val="002B60BA"/>
    <w:rsid w:val="002B6318"/>
    <w:rsid w:val="002B6987"/>
    <w:rsid w:val="002B75EB"/>
    <w:rsid w:val="002B76AF"/>
    <w:rsid w:val="002B7A18"/>
    <w:rsid w:val="002B7EE7"/>
    <w:rsid w:val="002C0981"/>
    <w:rsid w:val="002C0A82"/>
    <w:rsid w:val="002C10AE"/>
    <w:rsid w:val="002C1355"/>
    <w:rsid w:val="002C1581"/>
    <w:rsid w:val="002C1600"/>
    <w:rsid w:val="002C1F74"/>
    <w:rsid w:val="002C2127"/>
    <w:rsid w:val="002C285A"/>
    <w:rsid w:val="002C29A1"/>
    <w:rsid w:val="002C2C1D"/>
    <w:rsid w:val="002C3325"/>
    <w:rsid w:val="002C3852"/>
    <w:rsid w:val="002C388A"/>
    <w:rsid w:val="002C4093"/>
    <w:rsid w:val="002C41D5"/>
    <w:rsid w:val="002C4577"/>
    <w:rsid w:val="002C4B0C"/>
    <w:rsid w:val="002C4E3D"/>
    <w:rsid w:val="002C4F2A"/>
    <w:rsid w:val="002C5128"/>
    <w:rsid w:val="002C53F1"/>
    <w:rsid w:val="002C5C00"/>
    <w:rsid w:val="002C5C57"/>
    <w:rsid w:val="002C5F3E"/>
    <w:rsid w:val="002C63F4"/>
    <w:rsid w:val="002C6473"/>
    <w:rsid w:val="002C676D"/>
    <w:rsid w:val="002C686E"/>
    <w:rsid w:val="002C6A6F"/>
    <w:rsid w:val="002C6A86"/>
    <w:rsid w:val="002C6C46"/>
    <w:rsid w:val="002C6D5E"/>
    <w:rsid w:val="002C6E3E"/>
    <w:rsid w:val="002C7107"/>
    <w:rsid w:val="002C76FF"/>
    <w:rsid w:val="002C7CD6"/>
    <w:rsid w:val="002C7E16"/>
    <w:rsid w:val="002D00F7"/>
    <w:rsid w:val="002D0933"/>
    <w:rsid w:val="002D0A69"/>
    <w:rsid w:val="002D0DCC"/>
    <w:rsid w:val="002D11F4"/>
    <w:rsid w:val="002D12EA"/>
    <w:rsid w:val="002D1406"/>
    <w:rsid w:val="002D19E5"/>
    <w:rsid w:val="002D1A5C"/>
    <w:rsid w:val="002D1D03"/>
    <w:rsid w:val="002D1E4E"/>
    <w:rsid w:val="002D26B8"/>
    <w:rsid w:val="002D2E92"/>
    <w:rsid w:val="002D346E"/>
    <w:rsid w:val="002D35D8"/>
    <w:rsid w:val="002D423B"/>
    <w:rsid w:val="002D4552"/>
    <w:rsid w:val="002D47FD"/>
    <w:rsid w:val="002D5000"/>
    <w:rsid w:val="002D5203"/>
    <w:rsid w:val="002D5247"/>
    <w:rsid w:val="002D560C"/>
    <w:rsid w:val="002D5CCC"/>
    <w:rsid w:val="002D61B8"/>
    <w:rsid w:val="002D64F9"/>
    <w:rsid w:val="002D6B6F"/>
    <w:rsid w:val="002D73A6"/>
    <w:rsid w:val="002D73BB"/>
    <w:rsid w:val="002D7641"/>
    <w:rsid w:val="002D7FDF"/>
    <w:rsid w:val="002E0113"/>
    <w:rsid w:val="002E0491"/>
    <w:rsid w:val="002E0FF7"/>
    <w:rsid w:val="002E159A"/>
    <w:rsid w:val="002E1B57"/>
    <w:rsid w:val="002E1BD6"/>
    <w:rsid w:val="002E2013"/>
    <w:rsid w:val="002E26A5"/>
    <w:rsid w:val="002E2DAB"/>
    <w:rsid w:val="002E33BC"/>
    <w:rsid w:val="002E3A95"/>
    <w:rsid w:val="002E3C8D"/>
    <w:rsid w:val="002E3E73"/>
    <w:rsid w:val="002E42F2"/>
    <w:rsid w:val="002E434F"/>
    <w:rsid w:val="002E443E"/>
    <w:rsid w:val="002E4792"/>
    <w:rsid w:val="002E49FC"/>
    <w:rsid w:val="002E53C5"/>
    <w:rsid w:val="002E5780"/>
    <w:rsid w:val="002E5D69"/>
    <w:rsid w:val="002E638A"/>
    <w:rsid w:val="002E6C46"/>
    <w:rsid w:val="002E6F29"/>
    <w:rsid w:val="002E72A8"/>
    <w:rsid w:val="002E75BB"/>
    <w:rsid w:val="002E77C7"/>
    <w:rsid w:val="002E7F7E"/>
    <w:rsid w:val="002F0063"/>
    <w:rsid w:val="002F00F2"/>
    <w:rsid w:val="002F0CD8"/>
    <w:rsid w:val="002F12D5"/>
    <w:rsid w:val="002F15F1"/>
    <w:rsid w:val="002F1F2F"/>
    <w:rsid w:val="002F1F76"/>
    <w:rsid w:val="002F22EC"/>
    <w:rsid w:val="002F2318"/>
    <w:rsid w:val="002F2586"/>
    <w:rsid w:val="002F2A8C"/>
    <w:rsid w:val="002F2F5A"/>
    <w:rsid w:val="002F2FFA"/>
    <w:rsid w:val="002F3449"/>
    <w:rsid w:val="002F4454"/>
    <w:rsid w:val="002F4BC2"/>
    <w:rsid w:val="002F4C20"/>
    <w:rsid w:val="002F5086"/>
    <w:rsid w:val="002F51A9"/>
    <w:rsid w:val="002F5B13"/>
    <w:rsid w:val="002F5B5B"/>
    <w:rsid w:val="002F6581"/>
    <w:rsid w:val="002F71D1"/>
    <w:rsid w:val="002F7913"/>
    <w:rsid w:val="003004CC"/>
    <w:rsid w:val="003005F1"/>
    <w:rsid w:val="003015AA"/>
    <w:rsid w:val="003018F5"/>
    <w:rsid w:val="00301DD5"/>
    <w:rsid w:val="003020DC"/>
    <w:rsid w:val="003024AF"/>
    <w:rsid w:val="0030270A"/>
    <w:rsid w:val="00302851"/>
    <w:rsid w:val="00302D37"/>
    <w:rsid w:val="00303FFA"/>
    <w:rsid w:val="00304241"/>
    <w:rsid w:val="0030450F"/>
    <w:rsid w:val="00304D9A"/>
    <w:rsid w:val="003050B7"/>
    <w:rsid w:val="003050CD"/>
    <w:rsid w:val="00305806"/>
    <w:rsid w:val="003058F2"/>
    <w:rsid w:val="00306132"/>
    <w:rsid w:val="0030633A"/>
    <w:rsid w:val="00306456"/>
    <w:rsid w:val="003071DE"/>
    <w:rsid w:val="00307D74"/>
    <w:rsid w:val="0031043B"/>
    <w:rsid w:val="003113A4"/>
    <w:rsid w:val="003114FE"/>
    <w:rsid w:val="003115D0"/>
    <w:rsid w:val="003119FE"/>
    <w:rsid w:val="00311BED"/>
    <w:rsid w:val="00311CC6"/>
    <w:rsid w:val="00311F05"/>
    <w:rsid w:val="003120D4"/>
    <w:rsid w:val="00312471"/>
    <w:rsid w:val="00312748"/>
    <w:rsid w:val="0031278B"/>
    <w:rsid w:val="00312851"/>
    <w:rsid w:val="003128E1"/>
    <w:rsid w:val="0031310B"/>
    <w:rsid w:val="0031347B"/>
    <w:rsid w:val="003134BE"/>
    <w:rsid w:val="00313E0D"/>
    <w:rsid w:val="003141AF"/>
    <w:rsid w:val="003145A1"/>
    <w:rsid w:val="003147A8"/>
    <w:rsid w:val="00314BFE"/>
    <w:rsid w:val="00314C76"/>
    <w:rsid w:val="00314E34"/>
    <w:rsid w:val="003151A1"/>
    <w:rsid w:val="00315A1A"/>
    <w:rsid w:val="00315BF8"/>
    <w:rsid w:val="00315D00"/>
    <w:rsid w:val="00315D8F"/>
    <w:rsid w:val="00316197"/>
    <w:rsid w:val="00316449"/>
    <w:rsid w:val="003164FF"/>
    <w:rsid w:val="00316522"/>
    <w:rsid w:val="00316A84"/>
    <w:rsid w:val="00316BEE"/>
    <w:rsid w:val="00316D41"/>
    <w:rsid w:val="00316EC9"/>
    <w:rsid w:val="00317131"/>
    <w:rsid w:val="0031795C"/>
    <w:rsid w:val="00317AE9"/>
    <w:rsid w:val="00317C9D"/>
    <w:rsid w:val="00317EE2"/>
    <w:rsid w:val="00320242"/>
    <w:rsid w:val="0032085C"/>
    <w:rsid w:val="003208B2"/>
    <w:rsid w:val="00320911"/>
    <w:rsid w:val="00320A55"/>
    <w:rsid w:val="00320B47"/>
    <w:rsid w:val="00320FFC"/>
    <w:rsid w:val="00321109"/>
    <w:rsid w:val="0032186A"/>
    <w:rsid w:val="00321882"/>
    <w:rsid w:val="00321D77"/>
    <w:rsid w:val="003221C3"/>
    <w:rsid w:val="003226A6"/>
    <w:rsid w:val="00322872"/>
    <w:rsid w:val="0032303E"/>
    <w:rsid w:val="00323433"/>
    <w:rsid w:val="00323A81"/>
    <w:rsid w:val="00323C88"/>
    <w:rsid w:val="00323FC2"/>
    <w:rsid w:val="003242E5"/>
    <w:rsid w:val="00324535"/>
    <w:rsid w:val="00324DA0"/>
    <w:rsid w:val="0032507E"/>
    <w:rsid w:val="0032554D"/>
    <w:rsid w:val="00325B68"/>
    <w:rsid w:val="00325E8C"/>
    <w:rsid w:val="00325FF4"/>
    <w:rsid w:val="00326260"/>
    <w:rsid w:val="00326608"/>
    <w:rsid w:val="00326CF5"/>
    <w:rsid w:val="00326F4E"/>
    <w:rsid w:val="0032719E"/>
    <w:rsid w:val="00327873"/>
    <w:rsid w:val="00327ABB"/>
    <w:rsid w:val="0033004E"/>
    <w:rsid w:val="003300B5"/>
    <w:rsid w:val="003300E4"/>
    <w:rsid w:val="0033013C"/>
    <w:rsid w:val="0033016A"/>
    <w:rsid w:val="003303E1"/>
    <w:rsid w:val="00330A0F"/>
    <w:rsid w:val="00330DB3"/>
    <w:rsid w:val="0033146E"/>
    <w:rsid w:val="003315D3"/>
    <w:rsid w:val="00331826"/>
    <w:rsid w:val="00331AE9"/>
    <w:rsid w:val="00332206"/>
    <w:rsid w:val="003324F8"/>
    <w:rsid w:val="003328A3"/>
    <w:rsid w:val="00333448"/>
    <w:rsid w:val="003335A1"/>
    <w:rsid w:val="003339A0"/>
    <w:rsid w:val="0033455F"/>
    <w:rsid w:val="003349A4"/>
    <w:rsid w:val="00334B6B"/>
    <w:rsid w:val="00334CB7"/>
    <w:rsid w:val="00334CC5"/>
    <w:rsid w:val="00335738"/>
    <w:rsid w:val="00335A4B"/>
    <w:rsid w:val="00335AA4"/>
    <w:rsid w:val="00335BA6"/>
    <w:rsid w:val="00335C90"/>
    <w:rsid w:val="003363B9"/>
    <w:rsid w:val="00336806"/>
    <w:rsid w:val="00336A2D"/>
    <w:rsid w:val="003371CF"/>
    <w:rsid w:val="0033731A"/>
    <w:rsid w:val="0033745D"/>
    <w:rsid w:val="00337B77"/>
    <w:rsid w:val="00337C35"/>
    <w:rsid w:val="00337FD5"/>
    <w:rsid w:val="003402BA"/>
    <w:rsid w:val="00340320"/>
    <w:rsid w:val="00340C99"/>
    <w:rsid w:val="00341691"/>
    <w:rsid w:val="0034223E"/>
    <w:rsid w:val="003422E8"/>
    <w:rsid w:val="00343AA7"/>
    <w:rsid w:val="0034410D"/>
    <w:rsid w:val="0034429E"/>
    <w:rsid w:val="00344381"/>
    <w:rsid w:val="003444CF"/>
    <w:rsid w:val="00344832"/>
    <w:rsid w:val="003449EA"/>
    <w:rsid w:val="00344FD5"/>
    <w:rsid w:val="00344FF3"/>
    <w:rsid w:val="00345941"/>
    <w:rsid w:val="00345EB5"/>
    <w:rsid w:val="003462CA"/>
    <w:rsid w:val="0034680B"/>
    <w:rsid w:val="003469BF"/>
    <w:rsid w:val="00346AC8"/>
    <w:rsid w:val="00346BEF"/>
    <w:rsid w:val="003473AD"/>
    <w:rsid w:val="00347A9A"/>
    <w:rsid w:val="00347BFB"/>
    <w:rsid w:val="003501C0"/>
    <w:rsid w:val="00350648"/>
    <w:rsid w:val="003507E7"/>
    <w:rsid w:val="00350860"/>
    <w:rsid w:val="00350C07"/>
    <w:rsid w:val="00350EF5"/>
    <w:rsid w:val="00351088"/>
    <w:rsid w:val="00351927"/>
    <w:rsid w:val="00351C6B"/>
    <w:rsid w:val="0035215A"/>
    <w:rsid w:val="0035244A"/>
    <w:rsid w:val="003524E5"/>
    <w:rsid w:val="00352624"/>
    <w:rsid w:val="00352D9A"/>
    <w:rsid w:val="00352DAE"/>
    <w:rsid w:val="00353012"/>
    <w:rsid w:val="003533B2"/>
    <w:rsid w:val="00353599"/>
    <w:rsid w:val="00353B83"/>
    <w:rsid w:val="00353C67"/>
    <w:rsid w:val="00353EE1"/>
    <w:rsid w:val="003542A4"/>
    <w:rsid w:val="00354916"/>
    <w:rsid w:val="00354FDB"/>
    <w:rsid w:val="0035589D"/>
    <w:rsid w:val="00355BDB"/>
    <w:rsid w:val="00355F20"/>
    <w:rsid w:val="00356018"/>
    <w:rsid w:val="0035602B"/>
    <w:rsid w:val="003564FA"/>
    <w:rsid w:val="00356EC9"/>
    <w:rsid w:val="00357887"/>
    <w:rsid w:val="00360E12"/>
    <w:rsid w:val="00361556"/>
    <w:rsid w:val="003619C1"/>
    <w:rsid w:val="00361A2B"/>
    <w:rsid w:val="0036236F"/>
    <w:rsid w:val="00362758"/>
    <w:rsid w:val="00362D18"/>
    <w:rsid w:val="00363829"/>
    <w:rsid w:val="00363AA4"/>
    <w:rsid w:val="00363B5A"/>
    <w:rsid w:val="00363F02"/>
    <w:rsid w:val="00364368"/>
    <w:rsid w:val="003646E3"/>
    <w:rsid w:val="003647D3"/>
    <w:rsid w:val="00364E65"/>
    <w:rsid w:val="0036599C"/>
    <w:rsid w:val="00365BBB"/>
    <w:rsid w:val="00365DCD"/>
    <w:rsid w:val="00366279"/>
    <w:rsid w:val="00366AE4"/>
    <w:rsid w:val="00366DD7"/>
    <w:rsid w:val="00366EB0"/>
    <w:rsid w:val="00367131"/>
    <w:rsid w:val="0036730B"/>
    <w:rsid w:val="00367B51"/>
    <w:rsid w:val="0037035B"/>
    <w:rsid w:val="0037038F"/>
    <w:rsid w:val="00370424"/>
    <w:rsid w:val="00370436"/>
    <w:rsid w:val="00370942"/>
    <w:rsid w:val="00371271"/>
    <w:rsid w:val="00371272"/>
    <w:rsid w:val="003713E3"/>
    <w:rsid w:val="00371D5A"/>
    <w:rsid w:val="003727D7"/>
    <w:rsid w:val="00373298"/>
    <w:rsid w:val="00373A31"/>
    <w:rsid w:val="0037469E"/>
    <w:rsid w:val="00374737"/>
    <w:rsid w:val="00374B13"/>
    <w:rsid w:val="00374B77"/>
    <w:rsid w:val="00374BC1"/>
    <w:rsid w:val="00375296"/>
    <w:rsid w:val="003755AB"/>
    <w:rsid w:val="00375935"/>
    <w:rsid w:val="00375C05"/>
    <w:rsid w:val="00375C42"/>
    <w:rsid w:val="00375F46"/>
    <w:rsid w:val="003769AE"/>
    <w:rsid w:val="003769E6"/>
    <w:rsid w:val="00376CA2"/>
    <w:rsid w:val="00377267"/>
    <w:rsid w:val="003778E6"/>
    <w:rsid w:val="00377947"/>
    <w:rsid w:val="00377A57"/>
    <w:rsid w:val="00377DCC"/>
    <w:rsid w:val="003801C0"/>
    <w:rsid w:val="0038059A"/>
    <w:rsid w:val="00380A27"/>
    <w:rsid w:val="00380A7E"/>
    <w:rsid w:val="00380A81"/>
    <w:rsid w:val="0038103A"/>
    <w:rsid w:val="00381C08"/>
    <w:rsid w:val="00381E76"/>
    <w:rsid w:val="00382083"/>
    <w:rsid w:val="003820B7"/>
    <w:rsid w:val="0038221D"/>
    <w:rsid w:val="00382455"/>
    <w:rsid w:val="00382686"/>
    <w:rsid w:val="003829D7"/>
    <w:rsid w:val="003832D4"/>
    <w:rsid w:val="00383839"/>
    <w:rsid w:val="0038388A"/>
    <w:rsid w:val="00383AF8"/>
    <w:rsid w:val="00383D30"/>
    <w:rsid w:val="00383D6F"/>
    <w:rsid w:val="00383ECA"/>
    <w:rsid w:val="00383FEF"/>
    <w:rsid w:val="0038423C"/>
    <w:rsid w:val="003845B8"/>
    <w:rsid w:val="00384848"/>
    <w:rsid w:val="0038526F"/>
    <w:rsid w:val="00385907"/>
    <w:rsid w:val="00385B14"/>
    <w:rsid w:val="00385B2E"/>
    <w:rsid w:val="003864AA"/>
    <w:rsid w:val="003864DF"/>
    <w:rsid w:val="00386A6E"/>
    <w:rsid w:val="0038713E"/>
    <w:rsid w:val="00387380"/>
    <w:rsid w:val="003874AF"/>
    <w:rsid w:val="00387F0D"/>
    <w:rsid w:val="0039020E"/>
    <w:rsid w:val="0039068E"/>
    <w:rsid w:val="00390EE7"/>
    <w:rsid w:val="00390FF8"/>
    <w:rsid w:val="00391B75"/>
    <w:rsid w:val="00391C91"/>
    <w:rsid w:val="00392A4F"/>
    <w:rsid w:val="00392B34"/>
    <w:rsid w:val="00392B4F"/>
    <w:rsid w:val="00392BA0"/>
    <w:rsid w:val="003930AE"/>
    <w:rsid w:val="00393535"/>
    <w:rsid w:val="003941C4"/>
    <w:rsid w:val="00394802"/>
    <w:rsid w:val="00394A39"/>
    <w:rsid w:val="00394E24"/>
    <w:rsid w:val="00395359"/>
    <w:rsid w:val="0039562A"/>
    <w:rsid w:val="003959A2"/>
    <w:rsid w:val="00395AF7"/>
    <w:rsid w:val="00395CC6"/>
    <w:rsid w:val="0039636E"/>
    <w:rsid w:val="00396669"/>
    <w:rsid w:val="00396850"/>
    <w:rsid w:val="003971B6"/>
    <w:rsid w:val="00397368"/>
    <w:rsid w:val="00397CC0"/>
    <w:rsid w:val="003A0233"/>
    <w:rsid w:val="003A0547"/>
    <w:rsid w:val="003A0877"/>
    <w:rsid w:val="003A0A90"/>
    <w:rsid w:val="003A11A1"/>
    <w:rsid w:val="003A1335"/>
    <w:rsid w:val="003A136C"/>
    <w:rsid w:val="003A181F"/>
    <w:rsid w:val="003A1EB8"/>
    <w:rsid w:val="003A2231"/>
    <w:rsid w:val="003A2F8C"/>
    <w:rsid w:val="003A302A"/>
    <w:rsid w:val="003A39D5"/>
    <w:rsid w:val="003A39DE"/>
    <w:rsid w:val="003A3AF1"/>
    <w:rsid w:val="003A3E3B"/>
    <w:rsid w:val="003A4053"/>
    <w:rsid w:val="003A44E1"/>
    <w:rsid w:val="003A49DF"/>
    <w:rsid w:val="003A4A86"/>
    <w:rsid w:val="003A4B69"/>
    <w:rsid w:val="003A4F6A"/>
    <w:rsid w:val="003A516B"/>
    <w:rsid w:val="003A51CA"/>
    <w:rsid w:val="003A7039"/>
    <w:rsid w:val="003A7513"/>
    <w:rsid w:val="003A778A"/>
    <w:rsid w:val="003A781B"/>
    <w:rsid w:val="003A7B88"/>
    <w:rsid w:val="003B0315"/>
    <w:rsid w:val="003B038A"/>
    <w:rsid w:val="003B1657"/>
    <w:rsid w:val="003B1672"/>
    <w:rsid w:val="003B1863"/>
    <w:rsid w:val="003B1EC1"/>
    <w:rsid w:val="003B2427"/>
    <w:rsid w:val="003B27FC"/>
    <w:rsid w:val="003B2BD7"/>
    <w:rsid w:val="003B31F0"/>
    <w:rsid w:val="003B3769"/>
    <w:rsid w:val="003B3963"/>
    <w:rsid w:val="003B3BDF"/>
    <w:rsid w:val="003B3DDE"/>
    <w:rsid w:val="003B4969"/>
    <w:rsid w:val="003B4B10"/>
    <w:rsid w:val="003B4F08"/>
    <w:rsid w:val="003B5290"/>
    <w:rsid w:val="003B546E"/>
    <w:rsid w:val="003B55AD"/>
    <w:rsid w:val="003B55D0"/>
    <w:rsid w:val="003B5F3D"/>
    <w:rsid w:val="003B62B3"/>
    <w:rsid w:val="003B64C4"/>
    <w:rsid w:val="003B6773"/>
    <w:rsid w:val="003B6A55"/>
    <w:rsid w:val="003B6A6A"/>
    <w:rsid w:val="003B7120"/>
    <w:rsid w:val="003B7227"/>
    <w:rsid w:val="003B74CD"/>
    <w:rsid w:val="003B7CF9"/>
    <w:rsid w:val="003B7D87"/>
    <w:rsid w:val="003C0B89"/>
    <w:rsid w:val="003C0E3D"/>
    <w:rsid w:val="003C1071"/>
    <w:rsid w:val="003C1228"/>
    <w:rsid w:val="003C1FC7"/>
    <w:rsid w:val="003C231D"/>
    <w:rsid w:val="003C23A0"/>
    <w:rsid w:val="003C2AC7"/>
    <w:rsid w:val="003C2D74"/>
    <w:rsid w:val="003C2E58"/>
    <w:rsid w:val="003C3249"/>
    <w:rsid w:val="003C366C"/>
    <w:rsid w:val="003C38C0"/>
    <w:rsid w:val="003C3BB8"/>
    <w:rsid w:val="003C3E74"/>
    <w:rsid w:val="003C409D"/>
    <w:rsid w:val="003C4EAC"/>
    <w:rsid w:val="003C4FC1"/>
    <w:rsid w:val="003C53B4"/>
    <w:rsid w:val="003C5406"/>
    <w:rsid w:val="003C5B5C"/>
    <w:rsid w:val="003C5F46"/>
    <w:rsid w:val="003C5F49"/>
    <w:rsid w:val="003C5FF6"/>
    <w:rsid w:val="003C63C7"/>
    <w:rsid w:val="003C6476"/>
    <w:rsid w:val="003C6742"/>
    <w:rsid w:val="003C6D58"/>
    <w:rsid w:val="003C71E2"/>
    <w:rsid w:val="003C75E9"/>
    <w:rsid w:val="003C7D49"/>
    <w:rsid w:val="003D010F"/>
    <w:rsid w:val="003D01A0"/>
    <w:rsid w:val="003D03C7"/>
    <w:rsid w:val="003D0856"/>
    <w:rsid w:val="003D0AAF"/>
    <w:rsid w:val="003D0C73"/>
    <w:rsid w:val="003D121F"/>
    <w:rsid w:val="003D1F98"/>
    <w:rsid w:val="003D2248"/>
    <w:rsid w:val="003D22C3"/>
    <w:rsid w:val="003D2548"/>
    <w:rsid w:val="003D2669"/>
    <w:rsid w:val="003D2F14"/>
    <w:rsid w:val="003D3614"/>
    <w:rsid w:val="003D37F3"/>
    <w:rsid w:val="003D3E7E"/>
    <w:rsid w:val="003D3F67"/>
    <w:rsid w:val="003D4B95"/>
    <w:rsid w:val="003D4DF3"/>
    <w:rsid w:val="003D5221"/>
    <w:rsid w:val="003D53A6"/>
    <w:rsid w:val="003D566A"/>
    <w:rsid w:val="003D5A67"/>
    <w:rsid w:val="003D6BF6"/>
    <w:rsid w:val="003D6D04"/>
    <w:rsid w:val="003D6EE7"/>
    <w:rsid w:val="003D741F"/>
    <w:rsid w:val="003D778A"/>
    <w:rsid w:val="003D7A53"/>
    <w:rsid w:val="003D7CB8"/>
    <w:rsid w:val="003E00DE"/>
    <w:rsid w:val="003E0518"/>
    <w:rsid w:val="003E095A"/>
    <w:rsid w:val="003E09EE"/>
    <w:rsid w:val="003E0BC0"/>
    <w:rsid w:val="003E0C8B"/>
    <w:rsid w:val="003E0E91"/>
    <w:rsid w:val="003E214E"/>
    <w:rsid w:val="003E21E6"/>
    <w:rsid w:val="003E2F3A"/>
    <w:rsid w:val="003E3F88"/>
    <w:rsid w:val="003E429E"/>
    <w:rsid w:val="003E46F9"/>
    <w:rsid w:val="003E4952"/>
    <w:rsid w:val="003E4967"/>
    <w:rsid w:val="003E4D91"/>
    <w:rsid w:val="003E51F7"/>
    <w:rsid w:val="003E53ED"/>
    <w:rsid w:val="003E5585"/>
    <w:rsid w:val="003E6061"/>
    <w:rsid w:val="003E656E"/>
    <w:rsid w:val="003E666F"/>
    <w:rsid w:val="003E6833"/>
    <w:rsid w:val="003E6DC4"/>
    <w:rsid w:val="003E7110"/>
    <w:rsid w:val="003F03D9"/>
    <w:rsid w:val="003F0786"/>
    <w:rsid w:val="003F0ADE"/>
    <w:rsid w:val="003F0DD1"/>
    <w:rsid w:val="003F0DFE"/>
    <w:rsid w:val="003F0EF9"/>
    <w:rsid w:val="003F0F57"/>
    <w:rsid w:val="003F0F8E"/>
    <w:rsid w:val="003F1108"/>
    <w:rsid w:val="003F1228"/>
    <w:rsid w:val="003F1D0D"/>
    <w:rsid w:val="003F2A44"/>
    <w:rsid w:val="003F2B54"/>
    <w:rsid w:val="003F2B6B"/>
    <w:rsid w:val="003F2C37"/>
    <w:rsid w:val="003F2EEB"/>
    <w:rsid w:val="003F3233"/>
    <w:rsid w:val="003F33D7"/>
    <w:rsid w:val="003F3E4E"/>
    <w:rsid w:val="003F40E2"/>
    <w:rsid w:val="003F46EA"/>
    <w:rsid w:val="003F4DAC"/>
    <w:rsid w:val="003F4EC1"/>
    <w:rsid w:val="003F5819"/>
    <w:rsid w:val="003F5BC7"/>
    <w:rsid w:val="003F5C2B"/>
    <w:rsid w:val="003F5E22"/>
    <w:rsid w:val="003F662C"/>
    <w:rsid w:val="003F6F44"/>
    <w:rsid w:val="003F752D"/>
    <w:rsid w:val="00400492"/>
    <w:rsid w:val="00400556"/>
    <w:rsid w:val="00401266"/>
    <w:rsid w:val="004017F5"/>
    <w:rsid w:val="0040185B"/>
    <w:rsid w:val="00402BB1"/>
    <w:rsid w:val="00402CCF"/>
    <w:rsid w:val="00404CC1"/>
    <w:rsid w:val="004053F7"/>
    <w:rsid w:val="004054AC"/>
    <w:rsid w:val="0040673C"/>
    <w:rsid w:val="00406795"/>
    <w:rsid w:val="004072A5"/>
    <w:rsid w:val="004078FD"/>
    <w:rsid w:val="004109CD"/>
    <w:rsid w:val="00410CAD"/>
    <w:rsid w:val="00411C4A"/>
    <w:rsid w:val="00411F48"/>
    <w:rsid w:val="00412000"/>
    <w:rsid w:val="004123BA"/>
    <w:rsid w:val="00412AF3"/>
    <w:rsid w:val="00413041"/>
    <w:rsid w:val="00413338"/>
    <w:rsid w:val="0041365F"/>
    <w:rsid w:val="0041366A"/>
    <w:rsid w:val="004136B3"/>
    <w:rsid w:val="00413812"/>
    <w:rsid w:val="0041398B"/>
    <w:rsid w:val="00414969"/>
    <w:rsid w:val="00414A0E"/>
    <w:rsid w:val="00415044"/>
    <w:rsid w:val="0041578D"/>
    <w:rsid w:val="004157B6"/>
    <w:rsid w:val="00415CF8"/>
    <w:rsid w:val="00415EF9"/>
    <w:rsid w:val="004165C3"/>
    <w:rsid w:val="00416B40"/>
    <w:rsid w:val="00416F1D"/>
    <w:rsid w:val="00417002"/>
    <w:rsid w:val="004177C0"/>
    <w:rsid w:val="00417C95"/>
    <w:rsid w:val="00417D12"/>
    <w:rsid w:val="00417F9E"/>
    <w:rsid w:val="004201D3"/>
    <w:rsid w:val="004201FB"/>
    <w:rsid w:val="00420E88"/>
    <w:rsid w:val="00420F34"/>
    <w:rsid w:val="00421B1B"/>
    <w:rsid w:val="00421C35"/>
    <w:rsid w:val="00422DC6"/>
    <w:rsid w:val="00422FFE"/>
    <w:rsid w:val="0042342B"/>
    <w:rsid w:val="00423F48"/>
    <w:rsid w:val="00424395"/>
    <w:rsid w:val="00424421"/>
    <w:rsid w:val="0042462A"/>
    <w:rsid w:val="00424FFF"/>
    <w:rsid w:val="0042556A"/>
    <w:rsid w:val="00425A20"/>
    <w:rsid w:val="00425B32"/>
    <w:rsid w:val="004266A7"/>
    <w:rsid w:val="0042682B"/>
    <w:rsid w:val="00427625"/>
    <w:rsid w:val="00427D43"/>
    <w:rsid w:val="00427E6E"/>
    <w:rsid w:val="00430029"/>
    <w:rsid w:val="0043148F"/>
    <w:rsid w:val="004315B2"/>
    <w:rsid w:val="0043180A"/>
    <w:rsid w:val="00431C9D"/>
    <w:rsid w:val="00431CF5"/>
    <w:rsid w:val="00431D24"/>
    <w:rsid w:val="00431ED3"/>
    <w:rsid w:val="004321BC"/>
    <w:rsid w:val="00432258"/>
    <w:rsid w:val="00432280"/>
    <w:rsid w:val="00432408"/>
    <w:rsid w:val="00432813"/>
    <w:rsid w:val="00432B71"/>
    <w:rsid w:val="0043302B"/>
    <w:rsid w:val="00433482"/>
    <w:rsid w:val="00433522"/>
    <w:rsid w:val="00433965"/>
    <w:rsid w:val="00433E05"/>
    <w:rsid w:val="004341A7"/>
    <w:rsid w:val="00434B85"/>
    <w:rsid w:val="004358EB"/>
    <w:rsid w:val="00435CF3"/>
    <w:rsid w:val="00436247"/>
    <w:rsid w:val="00436ECB"/>
    <w:rsid w:val="00436EDB"/>
    <w:rsid w:val="00436F3A"/>
    <w:rsid w:val="0043743E"/>
    <w:rsid w:val="00437B57"/>
    <w:rsid w:val="00437FA6"/>
    <w:rsid w:val="0044058A"/>
    <w:rsid w:val="00440827"/>
    <w:rsid w:val="00440B54"/>
    <w:rsid w:val="00440F9E"/>
    <w:rsid w:val="00441331"/>
    <w:rsid w:val="0044205D"/>
    <w:rsid w:val="00442158"/>
    <w:rsid w:val="00442675"/>
    <w:rsid w:val="00442EE3"/>
    <w:rsid w:val="004430A9"/>
    <w:rsid w:val="004434F7"/>
    <w:rsid w:val="00443792"/>
    <w:rsid w:val="00443DAE"/>
    <w:rsid w:val="00444242"/>
    <w:rsid w:val="00444363"/>
    <w:rsid w:val="00444594"/>
    <w:rsid w:val="00444961"/>
    <w:rsid w:val="004449DC"/>
    <w:rsid w:val="00445007"/>
    <w:rsid w:val="00445118"/>
    <w:rsid w:val="004457AD"/>
    <w:rsid w:val="00445C9C"/>
    <w:rsid w:val="00445D64"/>
    <w:rsid w:val="00446970"/>
    <w:rsid w:val="00446ADC"/>
    <w:rsid w:val="00446CEA"/>
    <w:rsid w:val="00447124"/>
    <w:rsid w:val="0044749F"/>
    <w:rsid w:val="00447885"/>
    <w:rsid w:val="004501A0"/>
    <w:rsid w:val="00450F9D"/>
    <w:rsid w:val="00451326"/>
    <w:rsid w:val="00451591"/>
    <w:rsid w:val="004518CD"/>
    <w:rsid w:val="00451A6C"/>
    <w:rsid w:val="00451BAE"/>
    <w:rsid w:val="00451E8A"/>
    <w:rsid w:val="0045217F"/>
    <w:rsid w:val="00452AA5"/>
    <w:rsid w:val="00452B74"/>
    <w:rsid w:val="00453097"/>
    <w:rsid w:val="00453284"/>
    <w:rsid w:val="00453425"/>
    <w:rsid w:val="0045369C"/>
    <w:rsid w:val="00454176"/>
    <w:rsid w:val="004543EF"/>
    <w:rsid w:val="00454CF8"/>
    <w:rsid w:val="00454D15"/>
    <w:rsid w:val="00455021"/>
    <w:rsid w:val="00455332"/>
    <w:rsid w:val="004554C3"/>
    <w:rsid w:val="004556CC"/>
    <w:rsid w:val="00455776"/>
    <w:rsid w:val="00455955"/>
    <w:rsid w:val="00455F21"/>
    <w:rsid w:val="004560FD"/>
    <w:rsid w:val="00456154"/>
    <w:rsid w:val="0045621B"/>
    <w:rsid w:val="00456B13"/>
    <w:rsid w:val="00456DA3"/>
    <w:rsid w:val="00457071"/>
    <w:rsid w:val="0045776E"/>
    <w:rsid w:val="00457D02"/>
    <w:rsid w:val="00457E34"/>
    <w:rsid w:val="00457F23"/>
    <w:rsid w:val="004600F6"/>
    <w:rsid w:val="004612D9"/>
    <w:rsid w:val="00461492"/>
    <w:rsid w:val="004615E0"/>
    <w:rsid w:val="0046166A"/>
    <w:rsid w:val="00461B29"/>
    <w:rsid w:val="00461C21"/>
    <w:rsid w:val="004622BA"/>
    <w:rsid w:val="00462373"/>
    <w:rsid w:val="00462E1E"/>
    <w:rsid w:val="0046343C"/>
    <w:rsid w:val="0046392C"/>
    <w:rsid w:val="00463954"/>
    <w:rsid w:val="004639FC"/>
    <w:rsid w:val="00464621"/>
    <w:rsid w:val="00464C88"/>
    <w:rsid w:val="00464DA6"/>
    <w:rsid w:val="00464F21"/>
    <w:rsid w:val="004656F7"/>
    <w:rsid w:val="00465722"/>
    <w:rsid w:val="00465D06"/>
    <w:rsid w:val="00466732"/>
    <w:rsid w:val="00466AC1"/>
    <w:rsid w:val="00467313"/>
    <w:rsid w:val="004674C2"/>
    <w:rsid w:val="00467504"/>
    <w:rsid w:val="004677B5"/>
    <w:rsid w:val="00467B9D"/>
    <w:rsid w:val="00467E69"/>
    <w:rsid w:val="00467EFE"/>
    <w:rsid w:val="00470772"/>
    <w:rsid w:val="00470941"/>
    <w:rsid w:val="00470A46"/>
    <w:rsid w:val="00470E3A"/>
    <w:rsid w:val="00470EF0"/>
    <w:rsid w:val="004715B3"/>
    <w:rsid w:val="0047173F"/>
    <w:rsid w:val="00471A75"/>
    <w:rsid w:val="00471B11"/>
    <w:rsid w:val="00471ED4"/>
    <w:rsid w:val="00472079"/>
    <w:rsid w:val="00472112"/>
    <w:rsid w:val="004722C0"/>
    <w:rsid w:val="00472942"/>
    <w:rsid w:val="00472BEE"/>
    <w:rsid w:val="00472D54"/>
    <w:rsid w:val="00473527"/>
    <w:rsid w:val="00473550"/>
    <w:rsid w:val="004735CE"/>
    <w:rsid w:val="0047395F"/>
    <w:rsid w:val="00473D45"/>
    <w:rsid w:val="00473D8C"/>
    <w:rsid w:val="00474170"/>
    <w:rsid w:val="004744BA"/>
    <w:rsid w:val="004746A8"/>
    <w:rsid w:val="0047498B"/>
    <w:rsid w:val="00474B08"/>
    <w:rsid w:val="004751E7"/>
    <w:rsid w:val="00475297"/>
    <w:rsid w:val="004753DF"/>
    <w:rsid w:val="004755C9"/>
    <w:rsid w:val="004755E1"/>
    <w:rsid w:val="00475D92"/>
    <w:rsid w:val="00476138"/>
    <w:rsid w:val="0047617D"/>
    <w:rsid w:val="0047618D"/>
    <w:rsid w:val="00476947"/>
    <w:rsid w:val="00477B1F"/>
    <w:rsid w:val="00477B3D"/>
    <w:rsid w:val="00477C8D"/>
    <w:rsid w:val="00477D88"/>
    <w:rsid w:val="00477E8F"/>
    <w:rsid w:val="00477E95"/>
    <w:rsid w:val="00477F11"/>
    <w:rsid w:val="004806D3"/>
    <w:rsid w:val="00480F7F"/>
    <w:rsid w:val="00480FCA"/>
    <w:rsid w:val="00481458"/>
    <w:rsid w:val="00481C34"/>
    <w:rsid w:val="00481D67"/>
    <w:rsid w:val="00481F3B"/>
    <w:rsid w:val="00482269"/>
    <w:rsid w:val="004823BE"/>
    <w:rsid w:val="004825AE"/>
    <w:rsid w:val="004825B6"/>
    <w:rsid w:val="004827C2"/>
    <w:rsid w:val="004828B1"/>
    <w:rsid w:val="00482BFD"/>
    <w:rsid w:val="00482E13"/>
    <w:rsid w:val="00484181"/>
    <w:rsid w:val="0048424D"/>
    <w:rsid w:val="00484920"/>
    <w:rsid w:val="00484E6E"/>
    <w:rsid w:val="0048507D"/>
    <w:rsid w:val="0048544C"/>
    <w:rsid w:val="00485B41"/>
    <w:rsid w:val="00485D2C"/>
    <w:rsid w:val="00485E3F"/>
    <w:rsid w:val="00486679"/>
    <w:rsid w:val="0048678A"/>
    <w:rsid w:val="0048728B"/>
    <w:rsid w:val="004874B9"/>
    <w:rsid w:val="0048794C"/>
    <w:rsid w:val="004900D2"/>
    <w:rsid w:val="0049034C"/>
    <w:rsid w:val="00490765"/>
    <w:rsid w:val="00491066"/>
    <w:rsid w:val="0049123E"/>
    <w:rsid w:val="0049130F"/>
    <w:rsid w:val="00491446"/>
    <w:rsid w:val="00491BAC"/>
    <w:rsid w:val="00491C14"/>
    <w:rsid w:val="004921B0"/>
    <w:rsid w:val="00492312"/>
    <w:rsid w:val="00493B3B"/>
    <w:rsid w:val="00493BB7"/>
    <w:rsid w:val="00493C7B"/>
    <w:rsid w:val="00493DF9"/>
    <w:rsid w:val="00493E0C"/>
    <w:rsid w:val="004944B3"/>
    <w:rsid w:val="0049494D"/>
    <w:rsid w:val="00494A25"/>
    <w:rsid w:val="00495361"/>
    <w:rsid w:val="00495644"/>
    <w:rsid w:val="00495D3C"/>
    <w:rsid w:val="00495EE3"/>
    <w:rsid w:val="0049664F"/>
    <w:rsid w:val="00496977"/>
    <w:rsid w:val="00496AEB"/>
    <w:rsid w:val="00496B74"/>
    <w:rsid w:val="00497445"/>
    <w:rsid w:val="00497660"/>
    <w:rsid w:val="00497D45"/>
    <w:rsid w:val="004A01A2"/>
    <w:rsid w:val="004A0252"/>
    <w:rsid w:val="004A0361"/>
    <w:rsid w:val="004A07F5"/>
    <w:rsid w:val="004A09B5"/>
    <w:rsid w:val="004A31C8"/>
    <w:rsid w:val="004A32EE"/>
    <w:rsid w:val="004A37B3"/>
    <w:rsid w:val="004A3A54"/>
    <w:rsid w:val="004A4803"/>
    <w:rsid w:val="004A480D"/>
    <w:rsid w:val="004A4C4A"/>
    <w:rsid w:val="004A4FE2"/>
    <w:rsid w:val="004A5256"/>
    <w:rsid w:val="004A5444"/>
    <w:rsid w:val="004A557B"/>
    <w:rsid w:val="004A58FA"/>
    <w:rsid w:val="004A5A6C"/>
    <w:rsid w:val="004A619C"/>
    <w:rsid w:val="004A68A8"/>
    <w:rsid w:val="004A6CB9"/>
    <w:rsid w:val="004A6E1E"/>
    <w:rsid w:val="004A73F7"/>
    <w:rsid w:val="004A78C9"/>
    <w:rsid w:val="004B016C"/>
    <w:rsid w:val="004B0250"/>
    <w:rsid w:val="004B11D1"/>
    <w:rsid w:val="004B1520"/>
    <w:rsid w:val="004B1C0B"/>
    <w:rsid w:val="004B29CC"/>
    <w:rsid w:val="004B2B88"/>
    <w:rsid w:val="004B31E7"/>
    <w:rsid w:val="004B333A"/>
    <w:rsid w:val="004B358F"/>
    <w:rsid w:val="004B3879"/>
    <w:rsid w:val="004B3AF2"/>
    <w:rsid w:val="004B4046"/>
    <w:rsid w:val="004B40CF"/>
    <w:rsid w:val="004B411A"/>
    <w:rsid w:val="004B42A9"/>
    <w:rsid w:val="004B491F"/>
    <w:rsid w:val="004B4C61"/>
    <w:rsid w:val="004B544C"/>
    <w:rsid w:val="004B5513"/>
    <w:rsid w:val="004B578F"/>
    <w:rsid w:val="004B5D63"/>
    <w:rsid w:val="004B5D6C"/>
    <w:rsid w:val="004B626A"/>
    <w:rsid w:val="004B67AB"/>
    <w:rsid w:val="004B7247"/>
    <w:rsid w:val="004B7382"/>
    <w:rsid w:val="004B7887"/>
    <w:rsid w:val="004B78FE"/>
    <w:rsid w:val="004B7923"/>
    <w:rsid w:val="004C003B"/>
    <w:rsid w:val="004C0459"/>
    <w:rsid w:val="004C08E0"/>
    <w:rsid w:val="004C0F42"/>
    <w:rsid w:val="004C12BD"/>
    <w:rsid w:val="004C1C75"/>
    <w:rsid w:val="004C20B6"/>
    <w:rsid w:val="004C2340"/>
    <w:rsid w:val="004C2378"/>
    <w:rsid w:val="004C2B99"/>
    <w:rsid w:val="004C2CE0"/>
    <w:rsid w:val="004C2D2D"/>
    <w:rsid w:val="004C31FD"/>
    <w:rsid w:val="004C34FF"/>
    <w:rsid w:val="004C35C5"/>
    <w:rsid w:val="004C366C"/>
    <w:rsid w:val="004C4081"/>
    <w:rsid w:val="004C492C"/>
    <w:rsid w:val="004C4AF6"/>
    <w:rsid w:val="004C4C4A"/>
    <w:rsid w:val="004C5132"/>
    <w:rsid w:val="004C53EC"/>
    <w:rsid w:val="004C54B7"/>
    <w:rsid w:val="004C5796"/>
    <w:rsid w:val="004C595B"/>
    <w:rsid w:val="004C5977"/>
    <w:rsid w:val="004C5B74"/>
    <w:rsid w:val="004C6540"/>
    <w:rsid w:val="004C65B7"/>
    <w:rsid w:val="004C6B45"/>
    <w:rsid w:val="004C6D87"/>
    <w:rsid w:val="004C7AA8"/>
    <w:rsid w:val="004D014D"/>
    <w:rsid w:val="004D0C5E"/>
    <w:rsid w:val="004D0CDB"/>
    <w:rsid w:val="004D257E"/>
    <w:rsid w:val="004D25B9"/>
    <w:rsid w:val="004D2844"/>
    <w:rsid w:val="004D2B7F"/>
    <w:rsid w:val="004D2BFD"/>
    <w:rsid w:val="004D2DB5"/>
    <w:rsid w:val="004D2E53"/>
    <w:rsid w:val="004D3311"/>
    <w:rsid w:val="004D4151"/>
    <w:rsid w:val="004D5444"/>
    <w:rsid w:val="004D60DD"/>
    <w:rsid w:val="004D6129"/>
    <w:rsid w:val="004D66BC"/>
    <w:rsid w:val="004D6C88"/>
    <w:rsid w:val="004D6EA5"/>
    <w:rsid w:val="004D6F84"/>
    <w:rsid w:val="004D6FC3"/>
    <w:rsid w:val="004D728B"/>
    <w:rsid w:val="004D7A05"/>
    <w:rsid w:val="004D7E9E"/>
    <w:rsid w:val="004E0422"/>
    <w:rsid w:val="004E090E"/>
    <w:rsid w:val="004E0E99"/>
    <w:rsid w:val="004E1198"/>
    <w:rsid w:val="004E1CB7"/>
    <w:rsid w:val="004E1D33"/>
    <w:rsid w:val="004E1E7A"/>
    <w:rsid w:val="004E22F5"/>
    <w:rsid w:val="004E2736"/>
    <w:rsid w:val="004E2F26"/>
    <w:rsid w:val="004E334F"/>
    <w:rsid w:val="004E35C8"/>
    <w:rsid w:val="004E3827"/>
    <w:rsid w:val="004E3EA9"/>
    <w:rsid w:val="004E4B3E"/>
    <w:rsid w:val="004E5250"/>
    <w:rsid w:val="004E5514"/>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7EB"/>
    <w:rsid w:val="004F0A09"/>
    <w:rsid w:val="004F0E7F"/>
    <w:rsid w:val="004F0F7C"/>
    <w:rsid w:val="004F24A8"/>
    <w:rsid w:val="004F294F"/>
    <w:rsid w:val="004F2B28"/>
    <w:rsid w:val="004F3897"/>
    <w:rsid w:val="004F3A52"/>
    <w:rsid w:val="004F40E9"/>
    <w:rsid w:val="004F41D1"/>
    <w:rsid w:val="004F4DC2"/>
    <w:rsid w:val="004F4DC4"/>
    <w:rsid w:val="004F522C"/>
    <w:rsid w:val="004F5772"/>
    <w:rsid w:val="004F5E3A"/>
    <w:rsid w:val="004F5F71"/>
    <w:rsid w:val="004F6223"/>
    <w:rsid w:val="004F65DA"/>
    <w:rsid w:val="004F693E"/>
    <w:rsid w:val="004F6B55"/>
    <w:rsid w:val="004F6CF6"/>
    <w:rsid w:val="00500038"/>
    <w:rsid w:val="005000A9"/>
    <w:rsid w:val="00500390"/>
    <w:rsid w:val="00500C89"/>
    <w:rsid w:val="005012A3"/>
    <w:rsid w:val="00501C6B"/>
    <w:rsid w:val="00502112"/>
    <w:rsid w:val="00502153"/>
    <w:rsid w:val="00502409"/>
    <w:rsid w:val="005028F2"/>
    <w:rsid w:val="00503BAF"/>
    <w:rsid w:val="00503DD6"/>
    <w:rsid w:val="0050412A"/>
    <w:rsid w:val="005044E4"/>
    <w:rsid w:val="005046D9"/>
    <w:rsid w:val="005049DC"/>
    <w:rsid w:val="0050604B"/>
    <w:rsid w:val="005068EF"/>
    <w:rsid w:val="00506A09"/>
    <w:rsid w:val="00506F77"/>
    <w:rsid w:val="0050725A"/>
    <w:rsid w:val="00507B1B"/>
    <w:rsid w:val="00510278"/>
    <w:rsid w:val="00510A7B"/>
    <w:rsid w:val="00510B9D"/>
    <w:rsid w:val="005113DE"/>
    <w:rsid w:val="00511465"/>
    <w:rsid w:val="00511B4C"/>
    <w:rsid w:val="00511C2F"/>
    <w:rsid w:val="00512167"/>
    <w:rsid w:val="00512293"/>
    <w:rsid w:val="005124EC"/>
    <w:rsid w:val="00512833"/>
    <w:rsid w:val="0051333D"/>
    <w:rsid w:val="005140D2"/>
    <w:rsid w:val="00514154"/>
    <w:rsid w:val="00514313"/>
    <w:rsid w:val="0051447D"/>
    <w:rsid w:val="00514561"/>
    <w:rsid w:val="00515D61"/>
    <w:rsid w:val="00515DBF"/>
    <w:rsid w:val="00515DD4"/>
    <w:rsid w:val="0051604E"/>
    <w:rsid w:val="0051640E"/>
    <w:rsid w:val="005164D2"/>
    <w:rsid w:val="00516556"/>
    <w:rsid w:val="0051676A"/>
    <w:rsid w:val="005167FE"/>
    <w:rsid w:val="00516E09"/>
    <w:rsid w:val="00516E40"/>
    <w:rsid w:val="00517092"/>
    <w:rsid w:val="00517C9D"/>
    <w:rsid w:val="00517CCA"/>
    <w:rsid w:val="00517EB3"/>
    <w:rsid w:val="00517F5B"/>
    <w:rsid w:val="0052002B"/>
    <w:rsid w:val="00520182"/>
    <w:rsid w:val="00520983"/>
    <w:rsid w:val="00520DD7"/>
    <w:rsid w:val="0052177B"/>
    <w:rsid w:val="005217CF"/>
    <w:rsid w:val="005226D4"/>
    <w:rsid w:val="00522754"/>
    <w:rsid w:val="00522D6D"/>
    <w:rsid w:val="005236E3"/>
    <w:rsid w:val="00523860"/>
    <w:rsid w:val="0052396C"/>
    <w:rsid w:val="00523A8A"/>
    <w:rsid w:val="0052402C"/>
    <w:rsid w:val="0052415C"/>
    <w:rsid w:val="00524690"/>
    <w:rsid w:val="0052472B"/>
    <w:rsid w:val="005248BE"/>
    <w:rsid w:val="00524A8A"/>
    <w:rsid w:val="00524DC9"/>
    <w:rsid w:val="0052605D"/>
    <w:rsid w:val="00526238"/>
    <w:rsid w:val="00526D61"/>
    <w:rsid w:val="005278AB"/>
    <w:rsid w:val="00527C8D"/>
    <w:rsid w:val="0053036B"/>
    <w:rsid w:val="0053063D"/>
    <w:rsid w:val="00530A0C"/>
    <w:rsid w:val="00530DD5"/>
    <w:rsid w:val="00531745"/>
    <w:rsid w:val="00531BD7"/>
    <w:rsid w:val="00532079"/>
    <w:rsid w:val="00532620"/>
    <w:rsid w:val="00532810"/>
    <w:rsid w:val="00532A25"/>
    <w:rsid w:val="00533007"/>
    <w:rsid w:val="0053306F"/>
    <w:rsid w:val="00533942"/>
    <w:rsid w:val="00533F8D"/>
    <w:rsid w:val="00534F12"/>
    <w:rsid w:val="005350E7"/>
    <w:rsid w:val="00535777"/>
    <w:rsid w:val="0053583F"/>
    <w:rsid w:val="005358BC"/>
    <w:rsid w:val="005362A0"/>
    <w:rsid w:val="005372D7"/>
    <w:rsid w:val="0053745B"/>
    <w:rsid w:val="005374AB"/>
    <w:rsid w:val="005376A3"/>
    <w:rsid w:val="0054060E"/>
    <w:rsid w:val="00540792"/>
    <w:rsid w:val="00540D35"/>
    <w:rsid w:val="00541025"/>
    <w:rsid w:val="00541383"/>
    <w:rsid w:val="0054184E"/>
    <w:rsid w:val="00541A5B"/>
    <w:rsid w:val="00541F55"/>
    <w:rsid w:val="005427AD"/>
    <w:rsid w:val="00542AD5"/>
    <w:rsid w:val="00542E17"/>
    <w:rsid w:val="00543365"/>
    <w:rsid w:val="0054394B"/>
    <w:rsid w:val="00543D0B"/>
    <w:rsid w:val="005440CE"/>
    <w:rsid w:val="0054500C"/>
    <w:rsid w:val="00545D19"/>
    <w:rsid w:val="00546083"/>
    <w:rsid w:val="005468C5"/>
    <w:rsid w:val="00546936"/>
    <w:rsid w:val="00546D2E"/>
    <w:rsid w:val="00546FBC"/>
    <w:rsid w:val="00547951"/>
    <w:rsid w:val="00547BA6"/>
    <w:rsid w:val="00550215"/>
    <w:rsid w:val="00550472"/>
    <w:rsid w:val="005509D9"/>
    <w:rsid w:val="00550BCF"/>
    <w:rsid w:val="00550EFD"/>
    <w:rsid w:val="00551287"/>
    <w:rsid w:val="00551590"/>
    <w:rsid w:val="00551AFB"/>
    <w:rsid w:val="00552B34"/>
    <w:rsid w:val="00552BA0"/>
    <w:rsid w:val="00552C31"/>
    <w:rsid w:val="00553138"/>
    <w:rsid w:val="005538F8"/>
    <w:rsid w:val="005539CB"/>
    <w:rsid w:val="00553E7E"/>
    <w:rsid w:val="0055414E"/>
    <w:rsid w:val="00554352"/>
    <w:rsid w:val="00554433"/>
    <w:rsid w:val="00554AC6"/>
    <w:rsid w:val="0055523A"/>
    <w:rsid w:val="005552B7"/>
    <w:rsid w:val="00555DBC"/>
    <w:rsid w:val="00556357"/>
    <w:rsid w:val="00556861"/>
    <w:rsid w:val="0055698D"/>
    <w:rsid w:val="00556AAE"/>
    <w:rsid w:val="00556AC1"/>
    <w:rsid w:val="00556B44"/>
    <w:rsid w:val="00556DF1"/>
    <w:rsid w:val="0055709D"/>
    <w:rsid w:val="005571DB"/>
    <w:rsid w:val="00557837"/>
    <w:rsid w:val="005600DA"/>
    <w:rsid w:val="005603D4"/>
    <w:rsid w:val="005608B0"/>
    <w:rsid w:val="0056092C"/>
    <w:rsid w:val="0056095A"/>
    <w:rsid w:val="00560E1C"/>
    <w:rsid w:val="0056135F"/>
    <w:rsid w:val="00561478"/>
    <w:rsid w:val="0056184C"/>
    <w:rsid w:val="00561885"/>
    <w:rsid w:val="005620BD"/>
    <w:rsid w:val="00563178"/>
    <w:rsid w:val="00563D91"/>
    <w:rsid w:val="00564C8F"/>
    <w:rsid w:val="00565B2E"/>
    <w:rsid w:val="005660F4"/>
    <w:rsid w:val="00566302"/>
    <w:rsid w:val="005666AC"/>
    <w:rsid w:val="005669E2"/>
    <w:rsid w:val="00566C1B"/>
    <w:rsid w:val="00566C64"/>
    <w:rsid w:val="00566E6D"/>
    <w:rsid w:val="00566EB5"/>
    <w:rsid w:val="00566EF6"/>
    <w:rsid w:val="00566FFC"/>
    <w:rsid w:val="00567F47"/>
    <w:rsid w:val="00570210"/>
    <w:rsid w:val="00570360"/>
    <w:rsid w:val="005704BD"/>
    <w:rsid w:val="00570737"/>
    <w:rsid w:val="00570E32"/>
    <w:rsid w:val="00571025"/>
    <w:rsid w:val="005717B7"/>
    <w:rsid w:val="00571967"/>
    <w:rsid w:val="00571BE0"/>
    <w:rsid w:val="00572E46"/>
    <w:rsid w:val="00573023"/>
    <w:rsid w:val="00573041"/>
    <w:rsid w:val="00573964"/>
    <w:rsid w:val="00573FC4"/>
    <w:rsid w:val="0057467B"/>
    <w:rsid w:val="00574F88"/>
    <w:rsid w:val="0057540D"/>
    <w:rsid w:val="00575992"/>
    <w:rsid w:val="00575A7F"/>
    <w:rsid w:val="00575AFF"/>
    <w:rsid w:val="00575CE5"/>
    <w:rsid w:val="00576055"/>
    <w:rsid w:val="00576822"/>
    <w:rsid w:val="005768AC"/>
    <w:rsid w:val="005768AD"/>
    <w:rsid w:val="00576A81"/>
    <w:rsid w:val="00576FA5"/>
    <w:rsid w:val="00577095"/>
    <w:rsid w:val="005771E7"/>
    <w:rsid w:val="005779BF"/>
    <w:rsid w:val="0058011E"/>
    <w:rsid w:val="00580147"/>
    <w:rsid w:val="00580420"/>
    <w:rsid w:val="005808DF"/>
    <w:rsid w:val="00580C6C"/>
    <w:rsid w:val="005814C0"/>
    <w:rsid w:val="005835E3"/>
    <w:rsid w:val="00583962"/>
    <w:rsid w:val="00583D2A"/>
    <w:rsid w:val="005845C4"/>
    <w:rsid w:val="00584F24"/>
    <w:rsid w:val="00584FF2"/>
    <w:rsid w:val="0058520B"/>
    <w:rsid w:val="00585757"/>
    <w:rsid w:val="005858CC"/>
    <w:rsid w:val="005858F8"/>
    <w:rsid w:val="005859F6"/>
    <w:rsid w:val="005868B1"/>
    <w:rsid w:val="00586BBB"/>
    <w:rsid w:val="00586FA0"/>
    <w:rsid w:val="00587490"/>
    <w:rsid w:val="005877E8"/>
    <w:rsid w:val="00587871"/>
    <w:rsid w:val="00587B7C"/>
    <w:rsid w:val="00590F11"/>
    <w:rsid w:val="005914B7"/>
    <w:rsid w:val="00591985"/>
    <w:rsid w:val="005919D4"/>
    <w:rsid w:val="00591AB1"/>
    <w:rsid w:val="00591D0F"/>
    <w:rsid w:val="005922EF"/>
    <w:rsid w:val="00592529"/>
    <w:rsid w:val="00592DCB"/>
    <w:rsid w:val="005934BB"/>
    <w:rsid w:val="00593522"/>
    <w:rsid w:val="00593697"/>
    <w:rsid w:val="00593814"/>
    <w:rsid w:val="00593835"/>
    <w:rsid w:val="00593A18"/>
    <w:rsid w:val="00593C4C"/>
    <w:rsid w:val="00593E55"/>
    <w:rsid w:val="00594504"/>
    <w:rsid w:val="0059466C"/>
    <w:rsid w:val="00594FBF"/>
    <w:rsid w:val="00595116"/>
    <w:rsid w:val="00595144"/>
    <w:rsid w:val="0059519F"/>
    <w:rsid w:val="005954A3"/>
    <w:rsid w:val="005958C6"/>
    <w:rsid w:val="00595F38"/>
    <w:rsid w:val="005961E2"/>
    <w:rsid w:val="00596757"/>
    <w:rsid w:val="00596A58"/>
    <w:rsid w:val="00596BCC"/>
    <w:rsid w:val="00597644"/>
    <w:rsid w:val="0059772E"/>
    <w:rsid w:val="00597B70"/>
    <w:rsid w:val="00597C0E"/>
    <w:rsid w:val="005A00E7"/>
    <w:rsid w:val="005A05C1"/>
    <w:rsid w:val="005A0691"/>
    <w:rsid w:val="005A06DB"/>
    <w:rsid w:val="005A0E9B"/>
    <w:rsid w:val="005A1007"/>
    <w:rsid w:val="005A105A"/>
    <w:rsid w:val="005A1323"/>
    <w:rsid w:val="005A160B"/>
    <w:rsid w:val="005A16B8"/>
    <w:rsid w:val="005A1C18"/>
    <w:rsid w:val="005A216E"/>
    <w:rsid w:val="005A266C"/>
    <w:rsid w:val="005A2798"/>
    <w:rsid w:val="005A2BF2"/>
    <w:rsid w:val="005A2F73"/>
    <w:rsid w:val="005A3DBF"/>
    <w:rsid w:val="005A3DD6"/>
    <w:rsid w:val="005A4143"/>
    <w:rsid w:val="005A49CC"/>
    <w:rsid w:val="005A4CD0"/>
    <w:rsid w:val="005A541F"/>
    <w:rsid w:val="005A5619"/>
    <w:rsid w:val="005A5878"/>
    <w:rsid w:val="005A58BC"/>
    <w:rsid w:val="005A5C74"/>
    <w:rsid w:val="005A5D51"/>
    <w:rsid w:val="005A632C"/>
    <w:rsid w:val="005A6703"/>
    <w:rsid w:val="005A6DF4"/>
    <w:rsid w:val="005A78A9"/>
    <w:rsid w:val="005A7EFB"/>
    <w:rsid w:val="005B04CB"/>
    <w:rsid w:val="005B055D"/>
    <w:rsid w:val="005B0A04"/>
    <w:rsid w:val="005B0DDF"/>
    <w:rsid w:val="005B150C"/>
    <w:rsid w:val="005B156B"/>
    <w:rsid w:val="005B16FE"/>
    <w:rsid w:val="005B1728"/>
    <w:rsid w:val="005B193B"/>
    <w:rsid w:val="005B1943"/>
    <w:rsid w:val="005B19E3"/>
    <w:rsid w:val="005B1A1D"/>
    <w:rsid w:val="005B2074"/>
    <w:rsid w:val="005B248B"/>
    <w:rsid w:val="005B2492"/>
    <w:rsid w:val="005B2BAA"/>
    <w:rsid w:val="005B331B"/>
    <w:rsid w:val="005B3711"/>
    <w:rsid w:val="005B4049"/>
    <w:rsid w:val="005B48EA"/>
    <w:rsid w:val="005B4942"/>
    <w:rsid w:val="005B4CF3"/>
    <w:rsid w:val="005B4EE9"/>
    <w:rsid w:val="005B52AF"/>
    <w:rsid w:val="005B54E4"/>
    <w:rsid w:val="005B5683"/>
    <w:rsid w:val="005B60AC"/>
    <w:rsid w:val="005B6256"/>
    <w:rsid w:val="005B635A"/>
    <w:rsid w:val="005B6390"/>
    <w:rsid w:val="005B6888"/>
    <w:rsid w:val="005B68F9"/>
    <w:rsid w:val="005B6A2D"/>
    <w:rsid w:val="005B7248"/>
    <w:rsid w:val="005B72EA"/>
    <w:rsid w:val="005B7318"/>
    <w:rsid w:val="005B76B6"/>
    <w:rsid w:val="005C077B"/>
    <w:rsid w:val="005C09B9"/>
    <w:rsid w:val="005C0A07"/>
    <w:rsid w:val="005C0BA7"/>
    <w:rsid w:val="005C13CF"/>
    <w:rsid w:val="005C15CF"/>
    <w:rsid w:val="005C1765"/>
    <w:rsid w:val="005C1B4A"/>
    <w:rsid w:val="005C1C2D"/>
    <w:rsid w:val="005C1DC4"/>
    <w:rsid w:val="005C21DD"/>
    <w:rsid w:val="005C24D7"/>
    <w:rsid w:val="005C2CA6"/>
    <w:rsid w:val="005C2DCF"/>
    <w:rsid w:val="005C36A8"/>
    <w:rsid w:val="005C37ED"/>
    <w:rsid w:val="005C3864"/>
    <w:rsid w:val="005C4031"/>
    <w:rsid w:val="005C430E"/>
    <w:rsid w:val="005C4BBD"/>
    <w:rsid w:val="005C4C01"/>
    <w:rsid w:val="005C5801"/>
    <w:rsid w:val="005C5A0A"/>
    <w:rsid w:val="005C5F70"/>
    <w:rsid w:val="005C6867"/>
    <w:rsid w:val="005C715E"/>
    <w:rsid w:val="005C7303"/>
    <w:rsid w:val="005C747B"/>
    <w:rsid w:val="005C7773"/>
    <w:rsid w:val="005C78FE"/>
    <w:rsid w:val="005C7AF3"/>
    <w:rsid w:val="005C7C74"/>
    <w:rsid w:val="005C7FA1"/>
    <w:rsid w:val="005D016D"/>
    <w:rsid w:val="005D02B4"/>
    <w:rsid w:val="005D03F4"/>
    <w:rsid w:val="005D1468"/>
    <w:rsid w:val="005D14A6"/>
    <w:rsid w:val="005D2053"/>
    <w:rsid w:val="005D2266"/>
    <w:rsid w:val="005D25B4"/>
    <w:rsid w:val="005D28F4"/>
    <w:rsid w:val="005D2D69"/>
    <w:rsid w:val="005D35CF"/>
    <w:rsid w:val="005D4053"/>
    <w:rsid w:val="005D41A1"/>
    <w:rsid w:val="005D4315"/>
    <w:rsid w:val="005D4472"/>
    <w:rsid w:val="005D4557"/>
    <w:rsid w:val="005D4D58"/>
    <w:rsid w:val="005D4DE3"/>
    <w:rsid w:val="005D5874"/>
    <w:rsid w:val="005D5912"/>
    <w:rsid w:val="005D59F0"/>
    <w:rsid w:val="005D5AE2"/>
    <w:rsid w:val="005D5B6A"/>
    <w:rsid w:val="005D5D4C"/>
    <w:rsid w:val="005D629D"/>
    <w:rsid w:val="005D69CC"/>
    <w:rsid w:val="005D7895"/>
    <w:rsid w:val="005D7CFB"/>
    <w:rsid w:val="005D7D34"/>
    <w:rsid w:val="005D7E7E"/>
    <w:rsid w:val="005E0026"/>
    <w:rsid w:val="005E0165"/>
    <w:rsid w:val="005E0918"/>
    <w:rsid w:val="005E1022"/>
    <w:rsid w:val="005E1161"/>
    <w:rsid w:val="005E1535"/>
    <w:rsid w:val="005E1CE7"/>
    <w:rsid w:val="005E1DDC"/>
    <w:rsid w:val="005E1FE3"/>
    <w:rsid w:val="005E2258"/>
    <w:rsid w:val="005E27C4"/>
    <w:rsid w:val="005E2E2E"/>
    <w:rsid w:val="005E35F9"/>
    <w:rsid w:val="005E37D3"/>
    <w:rsid w:val="005E3899"/>
    <w:rsid w:val="005E392A"/>
    <w:rsid w:val="005E3D98"/>
    <w:rsid w:val="005E4DC7"/>
    <w:rsid w:val="005E4F74"/>
    <w:rsid w:val="005E5400"/>
    <w:rsid w:val="005E5503"/>
    <w:rsid w:val="005E5B79"/>
    <w:rsid w:val="005E5C95"/>
    <w:rsid w:val="005E5DAA"/>
    <w:rsid w:val="005E648D"/>
    <w:rsid w:val="005E68DF"/>
    <w:rsid w:val="005E7058"/>
    <w:rsid w:val="005E74B8"/>
    <w:rsid w:val="005E7E28"/>
    <w:rsid w:val="005E7E71"/>
    <w:rsid w:val="005E7E98"/>
    <w:rsid w:val="005F038E"/>
    <w:rsid w:val="005F08C1"/>
    <w:rsid w:val="005F08D8"/>
    <w:rsid w:val="005F1268"/>
    <w:rsid w:val="005F1860"/>
    <w:rsid w:val="005F1869"/>
    <w:rsid w:val="005F1BE9"/>
    <w:rsid w:val="005F2ACF"/>
    <w:rsid w:val="005F3072"/>
    <w:rsid w:val="005F3A5C"/>
    <w:rsid w:val="005F3D0A"/>
    <w:rsid w:val="005F40F4"/>
    <w:rsid w:val="005F4C7C"/>
    <w:rsid w:val="005F5311"/>
    <w:rsid w:val="005F544C"/>
    <w:rsid w:val="005F54EE"/>
    <w:rsid w:val="005F5612"/>
    <w:rsid w:val="005F57F3"/>
    <w:rsid w:val="005F5900"/>
    <w:rsid w:val="005F6149"/>
    <w:rsid w:val="005F6DC4"/>
    <w:rsid w:val="005F7399"/>
    <w:rsid w:val="005F74E3"/>
    <w:rsid w:val="006001FB"/>
    <w:rsid w:val="006002EE"/>
    <w:rsid w:val="0060064C"/>
    <w:rsid w:val="00600B01"/>
    <w:rsid w:val="00600BCB"/>
    <w:rsid w:val="00600C73"/>
    <w:rsid w:val="0060138B"/>
    <w:rsid w:val="00601825"/>
    <w:rsid w:val="00602912"/>
    <w:rsid w:val="00602CF0"/>
    <w:rsid w:val="006033A2"/>
    <w:rsid w:val="006035C4"/>
    <w:rsid w:val="0060375A"/>
    <w:rsid w:val="00603C12"/>
    <w:rsid w:val="00604562"/>
    <w:rsid w:val="00604DCD"/>
    <w:rsid w:val="00605135"/>
    <w:rsid w:val="00605B72"/>
    <w:rsid w:val="00605BDD"/>
    <w:rsid w:val="006066C3"/>
    <w:rsid w:val="00606731"/>
    <w:rsid w:val="00606962"/>
    <w:rsid w:val="00606993"/>
    <w:rsid w:val="00606CB5"/>
    <w:rsid w:val="00606D56"/>
    <w:rsid w:val="00607536"/>
    <w:rsid w:val="00607D93"/>
    <w:rsid w:val="006103E4"/>
    <w:rsid w:val="0061063E"/>
    <w:rsid w:val="00610973"/>
    <w:rsid w:val="00610E22"/>
    <w:rsid w:val="00611244"/>
    <w:rsid w:val="0061135B"/>
    <w:rsid w:val="0061152D"/>
    <w:rsid w:val="00611648"/>
    <w:rsid w:val="00611C9E"/>
    <w:rsid w:val="00611D14"/>
    <w:rsid w:val="00611EB5"/>
    <w:rsid w:val="0061246B"/>
    <w:rsid w:val="0061273D"/>
    <w:rsid w:val="006147CE"/>
    <w:rsid w:val="006149C9"/>
    <w:rsid w:val="00614DF2"/>
    <w:rsid w:val="00614FAE"/>
    <w:rsid w:val="006153CA"/>
    <w:rsid w:val="0061592C"/>
    <w:rsid w:val="00615AF7"/>
    <w:rsid w:val="006179B8"/>
    <w:rsid w:val="00617FE3"/>
    <w:rsid w:val="006202B5"/>
    <w:rsid w:val="00620983"/>
    <w:rsid w:val="00620C4D"/>
    <w:rsid w:val="00620CEA"/>
    <w:rsid w:val="00620E85"/>
    <w:rsid w:val="0062134B"/>
    <w:rsid w:val="00621B76"/>
    <w:rsid w:val="00621DD2"/>
    <w:rsid w:val="00621E09"/>
    <w:rsid w:val="0062216E"/>
    <w:rsid w:val="00622A3F"/>
    <w:rsid w:val="00622D54"/>
    <w:rsid w:val="00622DB9"/>
    <w:rsid w:val="00622E90"/>
    <w:rsid w:val="00624068"/>
    <w:rsid w:val="006241D2"/>
    <w:rsid w:val="00624257"/>
    <w:rsid w:val="00624840"/>
    <w:rsid w:val="00624BBC"/>
    <w:rsid w:val="006250CB"/>
    <w:rsid w:val="006251C3"/>
    <w:rsid w:val="00625279"/>
    <w:rsid w:val="006254BC"/>
    <w:rsid w:val="006255E6"/>
    <w:rsid w:val="00625DD2"/>
    <w:rsid w:val="00625E64"/>
    <w:rsid w:val="006260B6"/>
    <w:rsid w:val="00626123"/>
    <w:rsid w:val="00626403"/>
    <w:rsid w:val="0062648D"/>
    <w:rsid w:val="00626557"/>
    <w:rsid w:val="0062667B"/>
    <w:rsid w:val="006266C8"/>
    <w:rsid w:val="00626940"/>
    <w:rsid w:val="00626F80"/>
    <w:rsid w:val="0062706C"/>
    <w:rsid w:val="006270F1"/>
    <w:rsid w:val="006271C6"/>
    <w:rsid w:val="006272B9"/>
    <w:rsid w:val="00627659"/>
    <w:rsid w:val="00627750"/>
    <w:rsid w:val="0063037D"/>
    <w:rsid w:val="006303CE"/>
    <w:rsid w:val="00630489"/>
    <w:rsid w:val="006305E7"/>
    <w:rsid w:val="00630F69"/>
    <w:rsid w:val="0063114E"/>
    <w:rsid w:val="00631411"/>
    <w:rsid w:val="00631C88"/>
    <w:rsid w:val="0063289D"/>
    <w:rsid w:val="00632928"/>
    <w:rsid w:val="00632B40"/>
    <w:rsid w:val="00632D3F"/>
    <w:rsid w:val="00633512"/>
    <w:rsid w:val="0063355D"/>
    <w:rsid w:val="006336C0"/>
    <w:rsid w:val="0063391D"/>
    <w:rsid w:val="00633B4C"/>
    <w:rsid w:val="006343FA"/>
    <w:rsid w:val="00634707"/>
    <w:rsid w:val="00634872"/>
    <w:rsid w:val="0063490C"/>
    <w:rsid w:val="00634955"/>
    <w:rsid w:val="00634B25"/>
    <w:rsid w:val="00634B2A"/>
    <w:rsid w:val="00634BA6"/>
    <w:rsid w:val="00634EEC"/>
    <w:rsid w:val="00635777"/>
    <w:rsid w:val="006358EE"/>
    <w:rsid w:val="00635BB1"/>
    <w:rsid w:val="0063601B"/>
    <w:rsid w:val="006364A7"/>
    <w:rsid w:val="00636BA1"/>
    <w:rsid w:val="0063718C"/>
    <w:rsid w:val="00637D56"/>
    <w:rsid w:val="00637F67"/>
    <w:rsid w:val="00637F6F"/>
    <w:rsid w:val="0064019D"/>
    <w:rsid w:val="0064059A"/>
    <w:rsid w:val="00640CBB"/>
    <w:rsid w:val="006415A1"/>
    <w:rsid w:val="006421A3"/>
    <w:rsid w:val="0064259E"/>
    <w:rsid w:val="00642908"/>
    <w:rsid w:val="00642916"/>
    <w:rsid w:val="00642A6C"/>
    <w:rsid w:val="00643CA5"/>
    <w:rsid w:val="00643DB1"/>
    <w:rsid w:val="006447D3"/>
    <w:rsid w:val="00644B69"/>
    <w:rsid w:val="0064530D"/>
    <w:rsid w:val="0064535B"/>
    <w:rsid w:val="0064547A"/>
    <w:rsid w:val="00645745"/>
    <w:rsid w:val="00645AC0"/>
    <w:rsid w:val="00646057"/>
    <w:rsid w:val="006465B6"/>
    <w:rsid w:val="00646632"/>
    <w:rsid w:val="00646A05"/>
    <w:rsid w:val="00646C61"/>
    <w:rsid w:val="00646C8C"/>
    <w:rsid w:val="00646E44"/>
    <w:rsid w:val="006471AA"/>
    <w:rsid w:val="006471CB"/>
    <w:rsid w:val="006472C8"/>
    <w:rsid w:val="00647B1A"/>
    <w:rsid w:val="00647E65"/>
    <w:rsid w:val="006502B1"/>
    <w:rsid w:val="00650330"/>
    <w:rsid w:val="0065051B"/>
    <w:rsid w:val="00650539"/>
    <w:rsid w:val="00650559"/>
    <w:rsid w:val="00650859"/>
    <w:rsid w:val="00651215"/>
    <w:rsid w:val="00651F62"/>
    <w:rsid w:val="00652083"/>
    <w:rsid w:val="006521BF"/>
    <w:rsid w:val="006523F0"/>
    <w:rsid w:val="00652C80"/>
    <w:rsid w:val="00653A5C"/>
    <w:rsid w:val="006540E0"/>
    <w:rsid w:val="00654519"/>
    <w:rsid w:val="0065451B"/>
    <w:rsid w:val="00654957"/>
    <w:rsid w:val="00654972"/>
    <w:rsid w:val="006550FD"/>
    <w:rsid w:val="006554CA"/>
    <w:rsid w:val="00655660"/>
    <w:rsid w:val="00655841"/>
    <w:rsid w:val="00655B6D"/>
    <w:rsid w:val="00655BEE"/>
    <w:rsid w:val="00655C4D"/>
    <w:rsid w:val="00656136"/>
    <w:rsid w:val="00656783"/>
    <w:rsid w:val="006569D6"/>
    <w:rsid w:val="0065737D"/>
    <w:rsid w:val="00657776"/>
    <w:rsid w:val="0065785E"/>
    <w:rsid w:val="00660717"/>
    <w:rsid w:val="006609A8"/>
    <w:rsid w:val="00660B71"/>
    <w:rsid w:val="0066126C"/>
    <w:rsid w:val="00661323"/>
    <w:rsid w:val="00661957"/>
    <w:rsid w:val="006619D9"/>
    <w:rsid w:val="00661E4D"/>
    <w:rsid w:val="0066204B"/>
    <w:rsid w:val="00662269"/>
    <w:rsid w:val="006622EF"/>
    <w:rsid w:val="0066252B"/>
    <w:rsid w:val="00662854"/>
    <w:rsid w:val="00662B42"/>
    <w:rsid w:val="00662E12"/>
    <w:rsid w:val="0066311D"/>
    <w:rsid w:val="006638C0"/>
    <w:rsid w:val="00663B30"/>
    <w:rsid w:val="00663B5B"/>
    <w:rsid w:val="00663BAA"/>
    <w:rsid w:val="00663D0A"/>
    <w:rsid w:val="00663DA7"/>
    <w:rsid w:val="00663EDE"/>
    <w:rsid w:val="0066410C"/>
    <w:rsid w:val="006641C3"/>
    <w:rsid w:val="006641EA"/>
    <w:rsid w:val="00664514"/>
    <w:rsid w:val="006652C9"/>
    <w:rsid w:val="00665320"/>
    <w:rsid w:val="00665623"/>
    <w:rsid w:val="00665A8E"/>
    <w:rsid w:val="00665EBF"/>
    <w:rsid w:val="00665EE1"/>
    <w:rsid w:val="00665FCC"/>
    <w:rsid w:val="00666054"/>
    <w:rsid w:val="0066677C"/>
    <w:rsid w:val="00667A2A"/>
    <w:rsid w:val="00667D0B"/>
    <w:rsid w:val="0067050D"/>
    <w:rsid w:val="006707A4"/>
    <w:rsid w:val="0067088A"/>
    <w:rsid w:val="0067092B"/>
    <w:rsid w:val="00670A44"/>
    <w:rsid w:val="00670A65"/>
    <w:rsid w:val="00671829"/>
    <w:rsid w:val="00671CB9"/>
    <w:rsid w:val="00671D5B"/>
    <w:rsid w:val="00672457"/>
    <w:rsid w:val="0067336F"/>
    <w:rsid w:val="006734A7"/>
    <w:rsid w:val="0067362D"/>
    <w:rsid w:val="00673BCE"/>
    <w:rsid w:val="00674725"/>
    <w:rsid w:val="00675096"/>
    <w:rsid w:val="0067532D"/>
    <w:rsid w:val="00675522"/>
    <w:rsid w:val="006757AA"/>
    <w:rsid w:val="00675967"/>
    <w:rsid w:val="006759A7"/>
    <w:rsid w:val="00675C93"/>
    <w:rsid w:val="006766B0"/>
    <w:rsid w:val="00676B5E"/>
    <w:rsid w:val="00677237"/>
    <w:rsid w:val="006774E9"/>
    <w:rsid w:val="00677CDF"/>
    <w:rsid w:val="00677D6B"/>
    <w:rsid w:val="00677FDC"/>
    <w:rsid w:val="00680B22"/>
    <w:rsid w:val="00680E1C"/>
    <w:rsid w:val="00680E38"/>
    <w:rsid w:val="00681055"/>
    <w:rsid w:val="00681547"/>
    <w:rsid w:val="006824B8"/>
    <w:rsid w:val="0068255C"/>
    <w:rsid w:val="00682759"/>
    <w:rsid w:val="00683089"/>
    <w:rsid w:val="00683AFC"/>
    <w:rsid w:val="00683DC6"/>
    <w:rsid w:val="006848D9"/>
    <w:rsid w:val="00684EE2"/>
    <w:rsid w:val="0068556F"/>
    <w:rsid w:val="006856A5"/>
    <w:rsid w:val="00685877"/>
    <w:rsid w:val="00686205"/>
    <w:rsid w:val="00686782"/>
    <w:rsid w:val="00686B85"/>
    <w:rsid w:val="00686C9C"/>
    <w:rsid w:val="00686CE2"/>
    <w:rsid w:val="00686E19"/>
    <w:rsid w:val="00687031"/>
    <w:rsid w:val="00687349"/>
    <w:rsid w:val="00687658"/>
    <w:rsid w:val="0068767E"/>
    <w:rsid w:val="0069013D"/>
    <w:rsid w:val="006903BC"/>
    <w:rsid w:val="0069043C"/>
    <w:rsid w:val="0069058B"/>
    <w:rsid w:val="006906EE"/>
    <w:rsid w:val="006908AB"/>
    <w:rsid w:val="00691080"/>
    <w:rsid w:val="00692025"/>
    <w:rsid w:val="00692391"/>
    <w:rsid w:val="0069261E"/>
    <w:rsid w:val="006929CB"/>
    <w:rsid w:val="00693236"/>
    <w:rsid w:val="006932FE"/>
    <w:rsid w:val="00693A6F"/>
    <w:rsid w:val="00693AD3"/>
    <w:rsid w:val="0069402A"/>
    <w:rsid w:val="0069403C"/>
    <w:rsid w:val="00694616"/>
    <w:rsid w:val="00695391"/>
    <w:rsid w:val="00695A9D"/>
    <w:rsid w:val="00695B72"/>
    <w:rsid w:val="006962FA"/>
    <w:rsid w:val="00696477"/>
    <w:rsid w:val="006966F6"/>
    <w:rsid w:val="00696839"/>
    <w:rsid w:val="00696ACC"/>
    <w:rsid w:val="00697076"/>
    <w:rsid w:val="006A0A37"/>
    <w:rsid w:val="006A0A42"/>
    <w:rsid w:val="006A0BA4"/>
    <w:rsid w:val="006A0E10"/>
    <w:rsid w:val="006A14E9"/>
    <w:rsid w:val="006A180A"/>
    <w:rsid w:val="006A2152"/>
    <w:rsid w:val="006A2994"/>
    <w:rsid w:val="006A2AAA"/>
    <w:rsid w:val="006A2AB4"/>
    <w:rsid w:val="006A2CD5"/>
    <w:rsid w:val="006A307A"/>
    <w:rsid w:val="006A3977"/>
    <w:rsid w:val="006A3AF5"/>
    <w:rsid w:val="006A44A3"/>
    <w:rsid w:val="006A4962"/>
    <w:rsid w:val="006A4A4B"/>
    <w:rsid w:val="006A503A"/>
    <w:rsid w:val="006A5397"/>
    <w:rsid w:val="006A5589"/>
    <w:rsid w:val="006A5992"/>
    <w:rsid w:val="006A616C"/>
    <w:rsid w:val="006A6508"/>
    <w:rsid w:val="006A6774"/>
    <w:rsid w:val="006A6C5E"/>
    <w:rsid w:val="006A74C1"/>
    <w:rsid w:val="006A76B5"/>
    <w:rsid w:val="006A7764"/>
    <w:rsid w:val="006A79CF"/>
    <w:rsid w:val="006A7B48"/>
    <w:rsid w:val="006A7BED"/>
    <w:rsid w:val="006A7DAF"/>
    <w:rsid w:val="006A7EB3"/>
    <w:rsid w:val="006A7FC7"/>
    <w:rsid w:val="006B005C"/>
    <w:rsid w:val="006B09F8"/>
    <w:rsid w:val="006B0C44"/>
    <w:rsid w:val="006B0C70"/>
    <w:rsid w:val="006B111C"/>
    <w:rsid w:val="006B164F"/>
    <w:rsid w:val="006B1B14"/>
    <w:rsid w:val="006B2560"/>
    <w:rsid w:val="006B2653"/>
    <w:rsid w:val="006B28BC"/>
    <w:rsid w:val="006B28E2"/>
    <w:rsid w:val="006B3023"/>
    <w:rsid w:val="006B3491"/>
    <w:rsid w:val="006B375E"/>
    <w:rsid w:val="006B3C65"/>
    <w:rsid w:val="006B4081"/>
    <w:rsid w:val="006B415F"/>
    <w:rsid w:val="006B44F8"/>
    <w:rsid w:val="006B4655"/>
    <w:rsid w:val="006B4BFA"/>
    <w:rsid w:val="006B4E90"/>
    <w:rsid w:val="006B5315"/>
    <w:rsid w:val="006B56A7"/>
    <w:rsid w:val="006B5935"/>
    <w:rsid w:val="006B5CBE"/>
    <w:rsid w:val="006B5E0D"/>
    <w:rsid w:val="006B6594"/>
    <w:rsid w:val="006B6626"/>
    <w:rsid w:val="006B6C01"/>
    <w:rsid w:val="006B6D1E"/>
    <w:rsid w:val="006B7376"/>
    <w:rsid w:val="006B79E8"/>
    <w:rsid w:val="006C01EC"/>
    <w:rsid w:val="006C06DF"/>
    <w:rsid w:val="006C12C0"/>
    <w:rsid w:val="006C1419"/>
    <w:rsid w:val="006C14FF"/>
    <w:rsid w:val="006C1527"/>
    <w:rsid w:val="006C318E"/>
    <w:rsid w:val="006C373F"/>
    <w:rsid w:val="006C3AFB"/>
    <w:rsid w:val="006C415F"/>
    <w:rsid w:val="006C42C2"/>
    <w:rsid w:val="006C4937"/>
    <w:rsid w:val="006C4F84"/>
    <w:rsid w:val="006C50F5"/>
    <w:rsid w:val="006C53DA"/>
    <w:rsid w:val="006C586F"/>
    <w:rsid w:val="006C5E6C"/>
    <w:rsid w:val="006C6697"/>
    <w:rsid w:val="006C66DF"/>
    <w:rsid w:val="006C71AC"/>
    <w:rsid w:val="006C7B33"/>
    <w:rsid w:val="006D0356"/>
    <w:rsid w:val="006D0440"/>
    <w:rsid w:val="006D0769"/>
    <w:rsid w:val="006D08E0"/>
    <w:rsid w:val="006D096D"/>
    <w:rsid w:val="006D0F2F"/>
    <w:rsid w:val="006D1466"/>
    <w:rsid w:val="006D1759"/>
    <w:rsid w:val="006D1CD6"/>
    <w:rsid w:val="006D1E72"/>
    <w:rsid w:val="006D21BE"/>
    <w:rsid w:val="006D2284"/>
    <w:rsid w:val="006D2CD3"/>
    <w:rsid w:val="006D33A8"/>
    <w:rsid w:val="006D34EE"/>
    <w:rsid w:val="006D37A1"/>
    <w:rsid w:val="006D40A7"/>
    <w:rsid w:val="006D477B"/>
    <w:rsid w:val="006D5059"/>
    <w:rsid w:val="006D5114"/>
    <w:rsid w:val="006D574C"/>
    <w:rsid w:val="006D59F1"/>
    <w:rsid w:val="006D5CBC"/>
    <w:rsid w:val="006D60A7"/>
    <w:rsid w:val="006D66D2"/>
    <w:rsid w:val="006D6AA1"/>
    <w:rsid w:val="006D7338"/>
    <w:rsid w:val="006D7679"/>
    <w:rsid w:val="006D7AAE"/>
    <w:rsid w:val="006D7DCE"/>
    <w:rsid w:val="006D7FC4"/>
    <w:rsid w:val="006E009A"/>
    <w:rsid w:val="006E0389"/>
    <w:rsid w:val="006E05FC"/>
    <w:rsid w:val="006E08A6"/>
    <w:rsid w:val="006E0C09"/>
    <w:rsid w:val="006E105D"/>
    <w:rsid w:val="006E144F"/>
    <w:rsid w:val="006E165D"/>
    <w:rsid w:val="006E186A"/>
    <w:rsid w:val="006E1F8A"/>
    <w:rsid w:val="006E26DD"/>
    <w:rsid w:val="006E26F9"/>
    <w:rsid w:val="006E27CF"/>
    <w:rsid w:val="006E2AB1"/>
    <w:rsid w:val="006E2E19"/>
    <w:rsid w:val="006E3284"/>
    <w:rsid w:val="006E39C9"/>
    <w:rsid w:val="006E39EB"/>
    <w:rsid w:val="006E3F2D"/>
    <w:rsid w:val="006E43EB"/>
    <w:rsid w:val="006E44DF"/>
    <w:rsid w:val="006E49F2"/>
    <w:rsid w:val="006E4E95"/>
    <w:rsid w:val="006E5313"/>
    <w:rsid w:val="006E5E1C"/>
    <w:rsid w:val="006E6780"/>
    <w:rsid w:val="006E6DF7"/>
    <w:rsid w:val="006E78F4"/>
    <w:rsid w:val="006E7CD0"/>
    <w:rsid w:val="006E7E42"/>
    <w:rsid w:val="006F0070"/>
    <w:rsid w:val="006F02E5"/>
    <w:rsid w:val="006F0689"/>
    <w:rsid w:val="006F070F"/>
    <w:rsid w:val="006F07C8"/>
    <w:rsid w:val="006F080E"/>
    <w:rsid w:val="006F0817"/>
    <w:rsid w:val="006F111A"/>
    <w:rsid w:val="006F12A1"/>
    <w:rsid w:val="006F16BD"/>
    <w:rsid w:val="006F1B73"/>
    <w:rsid w:val="006F1C0B"/>
    <w:rsid w:val="006F22A9"/>
    <w:rsid w:val="006F285F"/>
    <w:rsid w:val="006F2D75"/>
    <w:rsid w:val="006F3F49"/>
    <w:rsid w:val="006F401E"/>
    <w:rsid w:val="006F45D9"/>
    <w:rsid w:val="006F4AD9"/>
    <w:rsid w:val="006F5296"/>
    <w:rsid w:val="006F54D8"/>
    <w:rsid w:val="006F613F"/>
    <w:rsid w:val="006F6328"/>
    <w:rsid w:val="006F6637"/>
    <w:rsid w:val="006F7211"/>
    <w:rsid w:val="006F7915"/>
    <w:rsid w:val="006F7F4E"/>
    <w:rsid w:val="0070015B"/>
    <w:rsid w:val="0070022B"/>
    <w:rsid w:val="00700A7A"/>
    <w:rsid w:val="00700C77"/>
    <w:rsid w:val="00701CFF"/>
    <w:rsid w:val="00701EE0"/>
    <w:rsid w:val="00702700"/>
    <w:rsid w:val="00702A11"/>
    <w:rsid w:val="00702A3C"/>
    <w:rsid w:val="00702BE2"/>
    <w:rsid w:val="007036AA"/>
    <w:rsid w:val="00703D71"/>
    <w:rsid w:val="00703F04"/>
    <w:rsid w:val="00704821"/>
    <w:rsid w:val="00704952"/>
    <w:rsid w:val="00705EA0"/>
    <w:rsid w:val="00705EAF"/>
    <w:rsid w:val="00706556"/>
    <w:rsid w:val="00706750"/>
    <w:rsid w:val="00706805"/>
    <w:rsid w:val="0070731E"/>
    <w:rsid w:val="007073DB"/>
    <w:rsid w:val="00710883"/>
    <w:rsid w:val="007108AE"/>
    <w:rsid w:val="00710CB8"/>
    <w:rsid w:val="00710D60"/>
    <w:rsid w:val="007110E1"/>
    <w:rsid w:val="00711AF0"/>
    <w:rsid w:val="00711F0A"/>
    <w:rsid w:val="00712132"/>
    <w:rsid w:val="00712A34"/>
    <w:rsid w:val="00712A39"/>
    <w:rsid w:val="00712FC4"/>
    <w:rsid w:val="00712FFB"/>
    <w:rsid w:val="00713071"/>
    <w:rsid w:val="0071320A"/>
    <w:rsid w:val="00713BBA"/>
    <w:rsid w:val="00714326"/>
    <w:rsid w:val="00714666"/>
    <w:rsid w:val="00714668"/>
    <w:rsid w:val="00714805"/>
    <w:rsid w:val="00714CEE"/>
    <w:rsid w:val="00714F4D"/>
    <w:rsid w:val="00715272"/>
    <w:rsid w:val="00715C1B"/>
    <w:rsid w:val="00715C97"/>
    <w:rsid w:val="00715D40"/>
    <w:rsid w:val="007165F6"/>
    <w:rsid w:val="00716817"/>
    <w:rsid w:val="0071699A"/>
    <w:rsid w:val="00716C3C"/>
    <w:rsid w:val="00716CE0"/>
    <w:rsid w:val="00716EFF"/>
    <w:rsid w:val="007170F9"/>
    <w:rsid w:val="007178A4"/>
    <w:rsid w:val="00717F44"/>
    <w:rsid w:val="0072032C"/>
    <w:rsid w:val="007203B1"/>
    <w:rsid w:val="00720FE1"/>
    <w:rsid w:val="007211E1"/>
    <w:rsid w:val="007215A4"/>
    <w:rsid w:val="00721971"/>
    <w:rsid w:val="00721A65"/>
    <w:rsid w:val="00722130"/>
    <w:rsid w:val="00722166"/>
    <w:rsid w:val="00722758"/>
    <w:rsid w:val="00722837"/>
    <w:rsid w:val="00722D71"/>
    <w:rsid w:val="00722EB1"/>
    <w:rsid w:val="00722FAD"/>
    <w:rsid w:val="00723404"/>
    <w:rsid w:val="007237A5"/>
    <w:rsid w:val="00723CE7"/>
    <w:rsid w:val="00723E78"/>
    <w:rsid w:val="00724B41"/>
    <w:rsid w:val="00724B78"/>
    <w:rsid w:val="0072551D"/>
    <w:rsid w:val="00725BBC"/>
    <w:rsid w:val="007262D8"/>
    <w:rsid w:val="007263F4"/>
    <w:rsid w:val="0072740E"/>
    <w:rsid w:val="00727661"/>
    <w:rsid w:val="0072773D"/>
    <w:rsid w:val="00727804"/>
    <w:rsid w:val="00727988"/>
    <w:rsid w:val="007300C9"/>
    <w:rsid w:val="0073023D"/>
    <w:rsid w:val="00730366"/>
    <w:rsid w:val="0073088E"/>
    <w:rsid w:val="00730951"/>
    <w:rsid w:val="00730BA2"/>
    <w:rsid w:val="007310A7"/>
    <w:rsid w:val="00731186"/>
    <w:rsid w:val="00731EBC"/>
    <w:rsid w:val="00732388"/>
    <w:rsid w:val="007323D1"/>
    <w:rsid w:val="007324B9"/>
    <w:rsid w:val="007328B0"/>
    <w:rsid w:val="007329E1"/>
    <w:rsid w:val="00732AC4"/>
    <w:rsid w:val="00732C75"/>
    <w:rsid w:val="0073316A"/>
    <w:rsid w:val="00733318"/>
    <w:rsid w:val="00733535"/>
    <w:rsid w:val="00733757"/>
    <w:rsid w:val="00733B3B"/>
    <w:rsid w:val="00733B93"/>
    <w:rsid w:val="00734034"/>
    <w:rsid w:val="007346D1"/>
    <w:rsid w:val="0073486D"/>
    <w:rsid w:val="00734F58"/>
    <w:rsid w:val="007351B4"/>
    <w:rsid w:val="00735869"/>
    <w:rsid w:val="00735F91"/>
    <w:rsid w:val="00736144"/>
    <w:rsid w:val="007367FA"/>
    <w:rsid w:val="00736A27"/>
    <w:rsid w:val="00737605"/>
    <w:rsid w:val="007377D6"/>
    <w:rsid w:val="00737943"/>
    <w:rsid w:val="00737A2B"/>
    <w:rsid w:val="00737A2F"/>
    <w:rsid w:val="00740652"/>
    <w:rsid w:val="007409CD"/>
    <w:rsid w:val="00740FD2"/>
    <w:rsid w:val="00741732"/>
    <w:rsid w:val="0074204F"/>
    <w:rsid w:val="007422B2"/>
    <w:rsid w:val="007422EF"/>
    <w:rsid w:val="00742813"/>
    <w:rsid w:val="00742BE2"/>
    <w:rsid w:val="00742E64"/>
    <w:rsid w:val="007430B5"/>
    <w:rsid w:val="00743919"/>
    <w:rsid w:val="00744307"/>
    <w:rsid w:val="00744544"/>
    <w:rsid w:val="00744740"/>
    <w:rsid w:val="00744B68"/>
    <w:rsid w:val="00745193"/>
    <w:rsid w:val="00745353"/>
    <w:rsid w:val="007453FF"/>
    <w:rsid w:val="0074554C"/>
    <w:rsid w:val="0074557E"/>
    <w:rsid w:val="007457CB"/>
    <w:rsid w:val="007458FF"/>
    <w:rsid w:val="00745A93"/>
    <w:rsid w:val="0074667F"/>
    <w:rsid w:val="0074675C"/>
    <w:rsid w:val="00746799"/>
    <w:rsid w:val="0074689B"/>
    <w:rsid w:val="00746CFF"/>
    <w:rsid w:val="007472AF"/>
    <w:rsid w:val="007473A1"/>
    <w:rsid w:val="00747640"/>
    <w:rsid w:val="0074773A"/>
    <w:rsid w:val="00747ED2"/>
    <w:rsid w:val="00747FA7"/>
    <w:rsid w:val="007502BB"/>
    <w:rsid w:val="0075040D"/>
    <w:rsid w:val="00750499"/>
    <w:rsid w:val="00750ECF"/>
    <w:rsid w:val="0075100B"/>
    <w:rsid w:val="007510E1"/>
    <w:rsid w:val="007513B3"/>
    <w:rsid w:val="00751462"/>
    <w:rsid w:val="00752E9A"/>
    <w:rsid w:val="00752FBF"/>
    <w:rsid w:val="00753120"/>
    <w:rsid w:val="007536F1"/>
    <w:rsid w:val="007539EA"/>
    <w:rsid w:val="00754154"/>
    <w:rsid w:val="007554BB"/>
    <w:rsid w:val="00755A20"/>
    <w:rsid w:val="00756158"/>
    <w:rsid w:val="007561BD"/>
    <w:rsid w:val="007561DE"/>
    <w:rsid w:val="007563BD"/>
    <w:rsid w:val="007568C3"/>
    <w:rsid w:val="00757240"/>
    <w:rsid w:val="007575F0"/>
    <w:rsid w:val="00757A7D"/>
    <w:rsid w:val="00757D00"/>
    <w:rsid w:val="00757F77"/>
    <w:rsid w:val="00757FFE"/>
    <w:rsid w:val="00760618"/>
    <w:rsid w:val="007608FD"/>
    <w:rsid w:val="00760B6D"/>
    <w:rsid w:val="00760C1B"/>
    <w:rsid w:val="00760C8F"/>
    <w:rsid w:val="00760CF1"/>
    <w:rsid w:val="00760DFB"/>
    <w:rsid w:val="0076150E"/>
    <w:rsid w:val="0076157C"/>
    <w:rsid w:val="0076169F"/>
    <w:rsid w:val="007616CF"/>
    <w:rsid w:val="007619D4"/>
    <w:rsid w:val="00761B2B"/>
    <w:rsid w:val="00761BF8"/>
    <w:rsid w:val="00761F89"/>
    <w:rsid w:val="007620A3"/>
    <w:rsid w:val="00762B4B"/>
    <w:rsid w:val="00762E0C"/>
    <w:rsid w:val="007636A3"/>
    <w:rsid w:val="00763800"/>
    <w:rsid w:val="007639CF"/>
    <w:rsid w:val="00763BCC"/>
    <w:rsid w:val="00763BCD"/>
    <w:rsid w:val="00764768"/>
    <w:rsid w:val="0076487E"/>
    <w:rsid w:val="00764F03"/>
    <w:rsid w:val="007653D9"/>
    <w:rsid w:val="007656B4"/>
    <w:rsid w:val="0076589E"/>
    <w:rsid w:val="00765C59"/>
    <w:rsid w:val="00765D06"/>
    <w:rsid w:val="00765F12"/>
    <w:rsid w:val="007660AB"/>
    <w:rsid w:val="00767357"/>
    <w:rsid w:val="0076761A"/>
    <w:rsid w:val="00767AAB"/>
    <w:rsid w:val="00770760"/>
    <w:rsid w:val="007712BE"/>
    <w:rsid w:val="007714FD"/>
    <w:rsid w:val="0077165B"/>
    <w:rsid w:val="0077184B"/>
    <w:rsid w:val="00772117"/>
    <w:rsid w:val="0077265B"/>
    <w:rsid w:val="0077267B"/>
    <w:rsid w:val="00772EF1"/>
    <w:rsid w:val="00773405"/>
    <w:rsid w:val="0077345E"/>
    <w:rsid w:val="00774257"/>
    <w:rsid w:val="0077449D"/>
    <w:rsid w:val="007745F0"/>
    <w:rsid w:val="007746F7"/>
    <w:rsid w:val="00774AA6"/>
    <w:rsid w:val="00774B7B"/>
    <w:rsid w:val="007752C9"/>
    <w:rsid w:val="0077575F"/>
    <w:rsid w:val="00775986"/>
    <w:rsid w:val="00776349"/>
    <w:rsid w:val="00776957"/>
    <w:rsid w:val="00777ABA"/>
    <w:rsid w:val="00777ECD"/>
    <w:rsid w:val="00780962"/>
    <w:rsid w:val="007809F7"/>
    <w:rsid w:val="00780A0E"/>
    <w:rsid w:val="00780A3F"/>
    <w:rsid w:val="00780CF0"/>
    <w:rsid w:val="00781322"/>
    <w:rsid w:val="0078145B"/>
    <w:rsid w:val="00781610"/>
    <w:rsid w:val="00781737"/>
    <w:rsid w:val="00781CE2"/>
    <w:rsid w:val="0078221B"/>
    <w:rsid w:val="007829AB"/>
    <w:rsid w:val="00782F0F"/>
    <w:rsid w:val="007831F9"/>
    <w:rsid w:val="00783AF6"/>
    <w:rsid w:val="00783B65"/>
    <w:rsid w:val="007844F4"/>
    <w:rsid w:val="00784915"/>
    <w:rsid w:val="00784DEB"/>
    <w:rsid w:val="0078523F"/>
    <w:rsid w:val="00785323"/>
    <w:rsid w:val="007854B0"/>
    <w:rsid w:val="00785791"/>
    <w:rsid w:val="00786037"/>
    <w:rsid w:val="00786808"/>
    <w:rsid w:val="00786CE2"/>
    <w:rsid w:val="00787437"/>
    <w:rsid w:val="0078780E"/>
    <w:rsid w:val="0078783C"/>
    <w:rsid w:val="00787B07"/>
    <w:rsid w:val="00787BD6"/>
    <w:rsid w:val="00787EA6"/>
    <w:rsid w:val="00790391"/>
    <w:rsid w:val="00790565"/>
    <w:rsid w:val="00790AD0"/>
    <w:rsid w:val="007913BF"/>
    <w:rsid w:val="007915FA"/>
    <w:rsid w:val="007916BF"/>
    <w:rsid w:val="00791902"/>
    <w:rsid w:val="00791B31"/>
    <w:rsid w:val="00791DE4"/>
    <w:rsid w:val="00792671"/>
    <w:rsid w:val="007927FD"/>
    <w:rsid w:val="0079298D"/>
    <w:rsid w:val="00792A68"/>
    <w:rsid w:val="00792F0A"/>
    <w:rsid w:val="00792F4B"/>
    <w:rsid w:val="007930DB"/>
    <w:rsid w:val="007935ED"/>
    <w:rsid w:val="00793BB7"/>
    <w:rsid w:val="0079493F"/>
    <w:rsid w:val="00794CDE"/>
    <w:rsid w:val="00794E70"/>
    <w:rsid w:val="00795146"/>
    <w:rsid w:val="00795C97"/>
    <w:rsid w:val="00795EB4"/>
    <w:rsid w:val="00796051"/>
    <w:rsid w:val="007962D0"/>
    <w:rsid w:val="007963E3"/>
    <w:rsid w:val="00796BEE"/>
    <w:rsid w:val="00796D60"/>
    <w:rsid w:val="00797039"/>
    <w:rsid w:val="00797054"/>
    <w:rsid w:val="007970E6"/>
    <w:rsid w:val="00797AB0"/>
    <w:rsid w:val="00797BF5"/>
    <w:rsid w:val="007A0072"/>
    <w:rsid w:val="007A00BF"/>
    <w:rsid w:val="007A0607"/>
    <w:rsid w:val="007A1224"/>
    <w:rsid w:val="007A12D4"/>
    <w:rsid w:val="007A17F6"/>
    <w:rsid w:val="007A17FC"/>
    <w:rsid w:val="007A1812"/>
    <w:rsid w:val="007A1D52"/>
    <w:rsid w:val="007A207E"/>
    <w:rsid w:val="007A20DD"/>
    <w:rsid w:val="007A22DA"/>
    <w:rsid w:val="007A2401"/>
    <w:rsid w:val="007A28F5"/>
    <w:rsid w:val="007A3223"/>
    <w:rsid w:val="007A353E"/>
    <w:rsid w:val="007A35EE"/>
    <w:rsid w:val="007A3673"/>
    <w:rsid w:val="007A4503"/>
    <w:rsid w:val="007A46BF"/>
    <w:rsid w:val="007A47C1"/>
    <w:rsid w:val="007A489E"/>
    <w:rsid w:val="007A4A53"/>
    <w:rsid w:val="007A51E4"/>
    <w:rsid w:val="007A5255"/>
    <w:rsid w:val="007A5348"/>
    <w:rsid w:val="007A59A9"/>
    <w:rsid w:val="007A6312"/>
    <w:rsid w:val="007A7184"/>
    <w:rsid w:val="007A74A5"/>
    <w:rsid w:val="007B00EF"/>
    <w:rsid w:val="007B01C1"/>
    <w:rsid w:val="007B073F"/>
    <w:rsid w:val="007B078E"/>
    <w:rsid w:val="007B08A3"/>
    <w:rsid w:val="007B0F24"/>
    <w:rsid w:val="007B0F8E"/>
    <w:rsid w:val="007B0FD5"/>
    <w:rsid w:val="007B155C"/>
    <w:rsid w:val="007B1925"/>
    <w:rsid w:val="007B1B34"/>
    <w:rsid w:val="007B1CB1"/>
    <w:rsid w:val="007B2110"/>
    <w:rsid w:val="007B2468"/>
    <w:rsid w:val="007B2D3D"/>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69F"/>
    <w:rsid w:val="007B6AAD"/>
    <w:rsid w:val="007B6B24"/>
    <w:rsid w:val="007B6BF3"/>
    <w:rsid w:val="007B7083"/>
    <w:rsid w:val="007B7654"/>
    <w:rsid w:val="007B76D6"/>
    <w:rsid w:val="007B7926"/>
    <w:rsid w:val="007B7D9A"/>
    <w:rsid w:val="007B7F00"/>
    <w:rsid w:val="007B7F05"/>
    <w:rsid w:val="007C03B7"/>
    <w:rsid w:val="007C0B40"/>
    <w:rsid w:val="007C0B83"/>
    <w:rsid w:val="007C0BF7"/>
    <w:rsid w:val="007C0D83"/>
    <w:rsid w:val="007C104E"/>
    <w:rsid w:val="007C1099"/>
    <w:rsid w:val="007C12CD"/>
    <w:rsid w:val="007C1335"/>
    <w:rsid w:val="007C1D21"/>
    <w:rsid w:val="007C20C5"/>
    <w:rsid w:val="007C2827"/>
    <w:rsid w:val="007C2A0E"/>
    <w:rsid w:val="007C2FAC"/>
    <w:rsid w:val="007C3733"/>
    <w:rsid w:val="007C3F79"/>
    <w:rsid w:val="007C4104"/>
    <w:rsid w:val="007C4484"/>
    <w:rsid w:val="007C4566"/>
    <w:rsid w:val="007C481D"/>
    <w:rsid w:val="007C5E70"/>
    <w:rsid w:val="007C6256"/>
    <w:rsid w:val="007C6291"/>
    <w:rsid w:val="007C62CE"/>
    <w:rsid w:val="007C63A7"/>
    <w:rsid w:val="007C672C"/>
    <w:rsid w:val="007C699D"/>
    <w:rsid w:val="007C69EB"/>
    <w:rsid w:val="007C6A40"/>
    <w:rsid w:val="007C6FF3"/>
    <w:rsid w:val="007C706B"/>
    <w:rsid w:val="007C7213"/>
    <w:rsid w:val="007C7496"/>
    <w:rsid w:val="007C7E0A"/>
    <w:rsid w:val="007C7E3E"/>
    <w:rsid w:val="007C7F53"/>
    <w:rsid w:val="007C7FA9"/>
    <w:rsid w:val="007D0046"/>
    <w:rsid w:val="007D00D8"/>
    <w:rsid w:val="007D02CE"/>
    <w:rsid w:val="007D0430"/>
    <w:rsid w:val="007D0A69"/>
    <w:rsid w:val="007D0E88"/>
    <w:rsid w:val="007D145A"/>
    <w:rsid w:val="007D19D6"/>
    <w:rsid w:val="007D20E9"/>
    <w:rsid w:val="007D2401"/>
    <w:rsid w:val="007D2BC1"/>
    <w:rsid w:val="007D2E24"/>
    <w:rsid w:val="007D3754"/>
    <w:rsid w:val="007D3B0E"/>
    <w:rsid w:val="007D3BC4"/>
    <w:rsid w:val="007D3BEC"/>
    <w:rsid w:val="007D3D95"/>
    <w:rsid w:val="007D405E"/>
    <w:rsid w:val="007D4127"/>
    <w:rsid w:val="007D430F"/>
    <w:rsid w:val="007D5462"/>
    <w:rsid w:val="007D6EA2"/>
    <w:rsid w:val="007D70B9"/>
    <w:rsid w:val="007D7241"/>
    <w:rsid w:val="007D73D0"/>
    <w:rsid w:val="007D75CB"/>
    <w:rsid w:val="007D7BB3"/>
    <w:rsid w:val="007E06DC"/>
    <w:rsid w:val="007E09E3"/>
    <w:rsid w:val="007E0AF1"/>
    <w:rsid w:val="007E1F53"/>
    <w:rsid w:val="007E227C"/>
    <w:rsid w:val="007E2A25"/>
    <w:rsid w:val="007E2D10"/>
    <w:rsid w:val="007E31AB"/>
    <w:rsid w:val="007E32DA"/>
    <w:rsid w:val="007E32F1"/>
    <w:rsid w:val="007E33C6"/>
    <w:rsid w:val="007E35FE"/>
    <w:rsid w:val="007E3719"/>
    <w:rsid w:val="007E3D23"/>
    <w:rsid w:val="007E3D79"/>
    <w:rsid w:val="007E3E14"/>
    <w:rsid w:val="007E448E"/>
    <w:rsid w:val="007E4CC0"/>
    <w:rsid w:val="007E505C"/>
    <w:rsid w:val="007E5679"/>
    <w:rsid w:val="007E5740"/>
    <w:rsid w:val="007E57C9"/>
    <w:rsid w:val="007E5AEC"/>
    <w:rsid w:val="007E5DB0"/>
    <w:rsid w:val="007E63B4"/>
    <w:rsid w:val="007E6475"/>
    <w:rsid w:val="007E6E11"/>
    <w:rsid w:val="007E6FC9"/>
    <w:rsid w:val="007E70FB"/>
    <w:rsid w:val="007E7652"/>
    <w:rsid w:val="007E771C"/>
    <w:rsid w:val="007E7A06"/>
    <w:rsid w:val="007F07A8"/>
    <w:rsid w:val="007F09C0"/>
    <w:rsid w:val="007F09F6"/>
    <w:rsid w:val="007F0F2C"/>
    <w:rsid w:val="007F12D6"/>
    <w:rsid w:val="007F19E5"/>
    <w:rsid w:val="007F1B1E"/>
    <w:rsid w:val="007F1F35"/>
    <w:rsid w:val="007F1FAC"/>
    <w:rsid w:val="007F214E"/>
    <w:rsid w:val="007F21F6"/>
    <w:rsid w:val="007F247E"/>
    <w:rsid w:val="007F26D2"/>
    <w:rsid w:val="007F2734"/>
    <w:rsid w:val="007F2C3F"/>
    <w:rsid w:val="007F2C86"/>
    <w:rsid w:val="007F30B9"/>
    <w:rsid w:val="007F319F"/>
    <w:rsid w:val="007F3469"/>
    <w:rsid w:val="007F3613"/>
    <w:rsid w:val="007F3B5A"/>
    <w:rsid w:val="007F3ED6"/>
    <w:rsid w:val="007F40B5"/>
    <w:rsid w:val="007F4448"/>
    <w:rsid w:val="007F4657"/>
    <w:rsid w:val="007F4C04"/>
    <w:rsid w:val="007F538C"/>
    <w:rsid w:val="007F565B"/>
    <w:rsid w:val="007F57DF"/>
    <w:rsid w:val="007F5830"/>
    <w:rsid w:val="007F5B61"/>
    <w:rsid w:val="007F5FAD"/>
    <w:rsid w:val="007F67FB"/>
    <w:rsid w:val="007F6B04"/>
    <w:rsid w:val="007F76EB"/>
    <w:rsid w:val="007F78B9"/>
    <w:rsid w:val="007F791A"/>
    <w:rsid w:val="007F7AB9"/>
    <w:rsid w:val="00800400"/>
    <w:rsid w:val="00800D97"/>
    <w:rsid w:val="008012B8"/>
    <w:rsid w:val="008012D8"/>
    <w:rsid w:val="008014B6"/>
    <w:rsid w:val="00802117"/>
    <w:rsid w:val="00802A1C"/>
    <w:rsid w:val="00802AF0"/>
    <w:rsid w:val="00802B51"/>
    <w:rsid w:val="00802BD3"/>
    <w:rsid w:val="00802C0E"/>
    <w:rsid w:val="00803454"/>
    <w:rsid w:val="00803A7D"/>
    <w:rsid w:val="00803E84"/>
    <w:rsid w:val="00804708"/>
    <w:rsid w:val="00804B2E"/>
    <w:rsid w:val="00804E04"/>
    <w:rsid w:val="00805AED"/>
    <w:rsid w:val="00805C1A"/>
    <w:rsid w:val="00806396"/>
    <w:rsid w:val="00806778"/>
    <w:rsid w:val="008068EE"/>
    <w:rsid w:val="00806B0D"/>
    <w:rsid w:val="008071D9"/>
    <w:rsid w:val="0080762C"/>
    <w:rsid w:val="008104AF"/>
    <w:rsid w:val="008105DC"/>
    <w:rsid w:val="00810C5A"/>
    <w:rsid w:val="00810F02"/>
    <w:rsid w:val="008118A1"/>
    <w:rsid w:val="0081195E"/>
    <w:rsid w:val="00811D4A"/>
    <w:rsid w:val="00811D6F"/>
    <w:rsid w:val="00812716"/>
    <w:rsid w:val="008127AB"/>
    <w:rsid w:val="00812CB2"/>
    <w:rsid w:val="00813671"/>
    <w:rsid w:val="00813845"/>
    <w:rsid w:val="00813B44"/>
    <w:rsid w:val="00813C62"/>
    <w:rsid w:val="008141A8"/>
    <w:rsid w:val="008143BC"/>
    <w:rsid w:val="008143CB"/>
    <w:rsid w:val="008149E5"/>
    <w:rsid w:val="0081546B"/>
    <w:rsid w:val="0081559C"/>
    <w:rsid w:val="008158DC"/>
    <w:rsid w:val="00815CBF"/>
    <w:rsid w:val="00815CE4"/>
    <w:rsid w:val="008160DA"/>
    <w:rsid w:val="008165B2"/>
    <w:rsid w:val="00816D83"/>
    <w:rsid w:val="008170AE"/>
    <w:rsid w:val="00817163"/>
    <w:rsid w:val="008173CC"/>
    <w:rsid w:val="008176F8"/>
    <w:rsid w:val="00820139"/>
    <w:rsid w:val="00820584"/>
    <w:rsid w:val="0082070E"/>
    <w:rsid w:val="00820721"/>
    <w:rsid w:val="00820B2C"/>
    <w:rsid w:val="00820EB9"/>
    <w:rsid w:val="0082100A"/>
    <w:rsid w:val="00821222"/>
    <w:rsid w:val="008213DF"/>
    <w:rsid w:val="00821A89"/>
    <w:rsid w:val="00821AD5"/>
    <w:rsid w:val="00821B31"/>
    <w:rsid w:val="00821CAE"/>
    <w:rsid w:val="00821E75"/>
    <w:rsid w:val="0082275A"/>
    <w:rsid w:val="00823477"/>
    <w:rsid w:val="008237ED"/>
    <w:rsid w:val="00823B63"/>
    <w:rsid w:val="00823C52"/>
    <w:rsid w:val="00824CB8"/>
    <w:rsid w:val="00825EBE"/>
    <w:rsid w:val="00826050"/>
    <w:rsid w:val="008264BE"/>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1756"/>
    <w:rsid w:val="00832598"/>
    <w:rsid w:val="00832782"/>
    <w:rsid w:val="00832EAD"/>
    <w:rsid w:val="0083310C"/>
    <w:rsid w:val="00833F69"/>
    <w:rsid w:val="008340A8"/>
    <w:rsid w:val="0083410C"/>
    <w:rsid w:val="00834487"/>
    <w:rsid w:val="008347DB"/>
    <w:rsid w:val="0083494F"/>
    <w:rsid w:val="00834C5D"/>
    <w:rsid w:val="00834D64"/>
    <w:rsid w:val="00835C3D"/>
    <w:rsid w:val="0083643B"/>
    <w:rsid w:val="008364CC"/>
    <w:rsid w:val="008367C8"/>
    <w:rsid w:val="00836CBA"/>
    <w:rsid w:val="00836FA7"/>
    <w:rsid w:val="008373FE"/>
    <w:rsid w:val="008376A4"/>
    <w:rsid w:val="008376E0"/>
    <w:rsid w:val="00837986"/>
    <w:rsid w:val="008379DF"/>
    <w:rsid w:val="00837ACA"/>
    <w:rsid w:val="00837F1B"/>
    <w:rsid w:val="0084020C"/>
    <w:rsid w:val="008406F5"/>
    <w:rsid w:val="00841030"/>
    <w:rsid w:val="008412E1"/>
    <w:rsid w:val="00841456"/>
    <w:rsid w:val="008420D1"/>
    <w:rsid w:val="0084221A"/>
    <w:rsid w:val="008422DC"/>
    <w:rsid w:val="008425E0"/>
    <w:rsid w:val="008425F8"/>
    <w:rsid w:val="00842DBF"/>
    <w:rsid w:val="00842EE0"/>
    <w:rsid w:val="0084373F"/>
    <w:rsid w:val="00844057"/>
    <w:rsid w:val="00844420"/>
    <w:rsid w:val="00844618"/>
    <w:rsid w:val="0084468B"/>
    <w:rsid w:val="0084489B"/>
    <w:rsid w:val="008449EA"/>
    <w:rsid w:val="00845979"/>
    <w:rsid w:val="00845A71"/>
    <w:rsid w:val="00845C30"/>
    <w:rsid w:val="00846E90"/>
    <w:rsid w:val="008470EC"/>
    <w:rsid w:val="00847583"/>
    <w:rsid w:val="00847615"/>
    <w:rsid w:val="008477F4"/>
    <w:rsid w:val="00847864"/>
    <w:rsid w:val="00850232"/>
    <w:rsid w:val="008509A1"/>
    <w:rsid w:val="008509B5"/>
    <w:rsid w:val="00851711"/>
    <w:rsid w:val="0085187F"/>
    <w:rsid w:val="00851E4E"/>
    <w:rsid w:val="0085206D"/>
    <w:rsid w:val="00852803"/>
    <w:rsid w:val="00852CEB"/>
    <w:rsid w:val="00852E0F"/>
    <w:rsid w:val="00853888"/>
    <w:rsid w:val="00853F94"/>
    <w:rsid w:val="00853FB6"/>
    <w:rsid w:val="0085416C"/>
    <w:rsid w:val="0085436B"/>
    <w:rsid w:val="00854479"/>
    <w:rsid w:val="008546D5"/>
    <w:rsid w:val="00854DFC"/>
    <w:rsid w:val="008551ED"/>
    <w:rsid w:val="00855A7F"/>
    <w:rsid w:val="00855E92"/>
    <w:rsid w:val="00855FAA"/>
    <w:rsid w:val="00856474"/>
    <w:rsid w:val="008569DC"/>
    <w:rsid w:val="00856CBA"/>
    <w:rsid w:val="00857236"/>
    <w:rsid w:val="00857378"/>
    <w:rsid w:val="008575B3"/>
    <w:rsid w:val="008576D6"/>
    <w:rsid w:val="008577C0"/>
    <w:rsid w:val="008601AC"/>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D9C"/>
    <w:rsid w:val="00862FB4"/>
    <w:rsid w:val="008631F1"/>
    <w:rsid w:val="00863EDD"/>
    <w:rsid w:val="00863F0F"/>
    <w:rsid w:val="0086417B"/>
    <w:rsid w:val="0086428E"/>
    <w:rsid w:val="008646EE"/>
    <w:rsid w:val="00864814"/>
    <w:rsid w:val="00864A52"/>
    <w:rsid w:val="00864C18"/>
    <w:rsid w:val="00864CC5"/>
    <w:rsid w:val="00865296"/>
    <w:rsid w:val="0086547D"/>
    <w:rsid w:val="00865521"/>
    <w:rsid w:val="00866B79"/>
    <w:rsid w:val="00867246"/>
    <w:rsid w:val="00867390"/>
    <w:rsid w:val="0087099F"/>
    <w:rsid w:val="0087135D"/>
    <w:rsid w:val="00871A10"/>
    <w:rsid w:val="00871C69"/>
    <w:rsid w:val="00871F2C"/>
    <w:rsid w:val="00872248"/>
    <w:rsid w:val="00872E86"/>
    <w:rsid w:val="008730FF"/>
    <w:rsid w:val="00873B6F"/>
    <w:rsid w:val="00875395"/>
    <w:rsid w:val="00875849"/>
    <w:rsid w:val="008758A2"/>
    <w:rsid w:val="00875903"/>
    <w:rsid w:val="00875E29"/>
    <w:rsid w:val="0087619D"/>
    <w:rsid w:val="00876479"/>
    <w:rsid w:val="00877171"/>
    <w:rsid w:val="00877415"/>
    <w:rsid w:val="00877562"/>
    <w:rsid w:val="008777E9"/>
    <w:rsid w:val="008778F7"/>
    <w:rsid w:val="00877EC8"/>
    <w:rsid w:val="00880477"/>
    <w:rsid w:val="00880993"/>
    <w:rsid w:val="00880FEB"/>
    <w:rsid w:val="00881CA7"/>
    <w:rsid w:val="008821FB"/>
    <w:rsid w:val="008832CA"/>
    <w:rsid w:val="00883362"/>
    <w:rsid w:val="00883526"/>
    <w:rsid w:val="00883C37"/>
    <w:rsid w:val="00884015"/>
    <w:rsid w:val="0088414F"/>
    <w:rsid w:val="008841DF"/>
    <w:rsid w:val="008842EA"/>
    <w:rsid w:val="00884968"/>
    <w:rsid w:val="00884DF3"/>
    <w:rsid w:val="00885566"/>
    <w:rsid w:val="00885745"/>
    <w:rsid w:val="008861DE"/>
    <w:rsid w:val="00886304"/>
    <w:rsid w:val="0088665C"/>
    <w:rsid w:val="00886685"/>
    <w:rsid w:val="00886950"/>
    <w:rsid w:val="00886B2F"/>
    <w:rsid w:val="00887304"/>
    <w:rsid w:val="008873BB"/>
    <w:rsid w:val="00887AF3"/>
    <w:rsid w:val="00887DC8"/>
    <w:rsid w:val="00887DDA"/>
    <w:rsid w:val="0089004C"/>
    <w:rsid w:val="0089009A"/>
    <w:rsid w:val="008900F1"/>
    <w:rsid w:val="0089046F"/>
    <w:rsid w:val="00890766"/>
    <w:rsid w:val="008907E5"/>
    <w:rsid w:val="0089174B"/>
    <w:rsid w:val="008921BB"/>
    <w:rsid w:val="00892FA7"/>
    <w:rsid w:val="008930F8"/>
    <w:rsid w:val="00893213"/>
    <w:rsid w:val="00893374"/>
    <w:rsid w:val="00893992"/>
    <w:rsid w:val="00893DE4"/>
    <w:rsid w:val="00893E14"/>
    <w:rsid w:val="0089483C"/>
    <w:rsid w:val="00894999"/>
    <w:rsid w:val="00894A25"/>
    <w:rsid w:val="00894DD7"/>
    <w:rsid w:val="00895188"/>
    <w:rsid w:val="00895858"/>
    <w:rsid w:val="00895E63"/>
    <w:rsid w:val="00895FEA"/>
    <w:rsid w:val="00896069"/>
    <w:rsid w:val="008965EE"/>
    <w:rsid w:val="00896A69"/>
    <w:rsid w:val="00896CA8"/>
    <w:rsid w:val="00896FA9"/>
    <w:rsid w:val="00897671"/>
    <w:rsid w:val="00897B02"/>
    <w:rsid w:val="00897FCE"/>
    <w:rsid w:val="008A04AA"/>
    <w:rsid w:val="008A1205"/>
    <w:rsid w:val="008A15DE"/>
    <w:rsid w:val="008A161D"/>
    <w:rsid w:val="008A169E"/>
    <w:rsid w:val="008A1C4C"/>
    <w:rsid w:val="008A1E92"/>
    <w:rsid w:val="008A1FCB"/>
    <w:rsid w:val="008A227F"/>
    <w:rsid w:val="008A3592"/>
    <w:rsid w:val="008A35F3"/>
    <w:rsid w:val="008A3680"/>
    <w:rsid w:val="008A3B2A"/>
    <w:rsid w:val="008A3B82"/>
    <w:rsid w:val="008A3C4B"/>
    <w:rsid w:val="008A3EC5"/>
    <w:rsid w:val="008A3EE1"/>
    <w:rsid w:val="008A3F93"/>
    <w:rsid w:val="008A4408"/>
    <w:rsid w:val="008A4566"/>
    <w:rsid w:val="008A4C62"/>
    <w:rsid w:val="008A5068"/>
    <w:rsid w:val="008A5A2D"/>
    <w:rsid w:val="008A5AC5"/>
    <w:rsid w:val="008A5BB3"/>
    <w:rsid w:val="008A6625"/>
    <w:rsid w:val="008A696B"/>
    <w:rsid w:val="008A6A2C"/>
    <w:rsid w:val="008A6CA5"/>
    <w:rsid w:val="008A70D7"/>
    <w:rsid w:val="008A7152"/>
    <w:rsid w:val="008A71C7"/>
    <w:rsid w:val="008A75D1"/>
    <w:rsid w:val="008A794A"/>
    <w:rsid w:val="008A79CF"/>
    <w:rsid w:val="008A7DE1"/>
    <w:rsid w:val="008B0408"/>
    <w:rsid w:val="008B1153"/>
    <w:rsid w:val="008B13B2"/>
    <w:rsid w:val="008B13C9"/>
    <w:rsid w:val="008B1BB5"/>
    <w:rsid w:val="008B1F05"/>
    <w:rsid w:val="008B259A"/>
    <w:rsid w:val="008B25E7"/>
    <w:rsid w:val="008B2BE8"/>
    <w:rsid w:val="008B32AB"/>
    <w:rsid w:val="008B33EA"/>
    <w:rsid w:val="008B3B28"/>
    <w:rsid w:val="008B3D59"/>
    <w:rsid w:val="008B3E15"/>
    <w:rsid w:val="008B3F5C"/>
    <w:rsid w:val="008B409C"/>
    <w:rsid w:val="008B40AD"/>
    <w:rsid w:val="008B452E"/>
    <w:rsid w:val="008B47A6"/>
    <w:rsid w:val="008B50CC"/>
    <w:rsid w:val="008B5265"/>
    <w:rsid w:val="008B55B9"/>
    <w:rsid w:val="008B55E7"/>
    <w:rsid w:val="008B5665"/>
    <w:rsid w:val="008B5877"/>
    <w:rsid w:val="008B5CA0"/>
    <w:rsid w:val="008B6006"/>
    <w:rsid w:val="008B6DBD"/>
    <w:rsid w:val="008B6EF5"/>
    <w:rsid w:val="008B6FEB"/>
    <w:rsid w:val="008B76BB"/>
    <w:rsid w:val="008B7A20"/>
    <w:rsid w:val="008B7BB5"/>
    <w:rsid w:val="008B7DA6"/>
    <w:rsid w:val="008B7F05"/>
    <w:rsid w:val="008C0198"/>
    <w:rsid w:val="008C0517"/>
    <w:rsid w:val="008C10E6"/>
    <w:rsid w:val="008C1229"/>
    <w:rsid w:val="008C1888"/>
    <w:rsid w:val="008C18E3"/>
    <w:rsid w:val="008C1D1C"/>
    <w:rsid w:val="008C1E3A"/>
    <w:rsid w:val="008C2121"/>
    <w:rsid w:val="008C22B1"/>
    <w:rsid w:val="008C398B"/>
    <w:rsid w:val="008C3A19"/>
    <w:rsid w:val="008C4939"/>
    <w:rsid w:val="008C4952"/>
    <w:rsid w:val="008C4DDD"/>
    <w:rsid w:val="008C5257"/>
    <w:rsid w:val="008C5644"/>
    <w:rsid w:val="008C5A02"/>
    <w:rsid w:val="008C6707"/>
    <w:rsid w:val="008C6CA7"/>
    <w:rsid w:val="008C6CDE"/>
    <w:rsid w:val="008C79F0"/>
    <w:rsid w:val="008C7FAE"/>
    <w:rsid w:val="008C7FB2"/>
    <w:rsid w:val="008D02C2"/>
    <w:rsid w:val="008D0444"/>
    <w:rsid w:val="008D13C8"/>
    <w:rsid w:val="008D14D0"/>
    <w:rsid w:val="008D14DA"/>
    <w:rsid w:val="008D1F4F"/>
    <w:rsid w:val="008D208B"/>
    <w:rsid w:val="008D2494"/>
    <w:rsid w:val="008D24AA"/>
    <w:rsid w:val="008D2736"/>
    <w:rsid w:val="008D2B9A"/>
    <w:rsid w:val="008D2C78"/>
    <w:rsid w:val="008D2CB4"/>
    <w:rsid w:val="008D3D7E"/>
    <w:rsid w:val="008D4CF2"/>
    <w:rsid w:val="008D563E"/>
    <w:rsid w:val="008D5AB6"/>
    <w:rsid w:val="008D5E4D"/>
    <w:rsid w:val="008D6759"/>
    <w:rsid w:val="008D719A"/>
    <w:rsid w:val="008D76A1"/>
    <w:rsid w:val="008D7A58"/>
    <w:rsid w:val="008D7A7C"/>
    <w:rsid w:val="008D7EAA"/>
    <w:rsid w:val="008E04A5"/>
    <w:rsid w:val="008E077C"/>
    <w:rsid w:val="008E0A05"/>
    <w:rsid w:val="008E0C10"/>
    <w:rsid w:val="008E0EFD"/>
    <w:rsid w:val="008E12AE"/>
    <w:rsid w:val="008E1479"/>
    <w:rsid w:val="008E15CD"/>
    <w:rsid w:val="008E1793"/>
    <w:rsid w:val="008E18BD"/>
    <w:rsid w:val="008E1A2F"/>
    <w:rsid w:val="008E1C57"/>
    <w:rsid w:val="008E1CF1"/>
    <w:rsid w:val="008E1DDC"/>
    <w:rsid w:val="008E231C"/>
    <w:rsid w:val="008E257B"/>
    <w:rsid w:val="008E2BF1"/>
    <w:rsid w:val="008E31ED"/>
    <w:rsid w:val="008E35EA"/>
    <w:rsid w:val="008E3727"/>
    <w:rsid w:val="008E3D5E"/>
    <w:rsid w:val="008E40F4"/>
    <w:rsid w:val="008E42A1"/>
    <w:rsid w:val="008E466C"/>
    <w:rsid w:val="008E4B03"/>
    <w:rsid w:val="008E4CD9"/>
    <w:rsid w:val="008E57AA"/>
    <w:rsid w:val="008E5A4E"/>
    <w:rsid w:val="008E5D89"/>
    <w:rsid w:val="008E6599"/>
    <w:rsid w:val="008E6B92"/>
    <w:rsid w:val="008E74AF"/>
    <w:rsid w:val="008E7C80"/>
    <w:rsid w:val="008F01AB"/>
    <w:rsid w:val="008F06BC"/>
    <w:rsid w:val="008F0CEA"/>
    <w:rsid w:val="008F0F3E"/>
    <w:rsid w:val="008F1034"/>
    <w:rsid w:val="008F10DF"/>
    <w:rsid w:val="008F15F0"/>
    <w:rsid w:val="008F16F2"/>
    <w:rsid w:val="008F178C"/>
    <w:rsid w:val="008F1909"/>
    <w:rsid w:val="008F21C6"/>
    <w:rsid w:val="008F2217"/>
    <w:rsid w:val="008F267B"/>
    <w:rsid w:val="008F2785"/>
    <w:rsid w:val="008F28A5"/>
    <w:rsid w:val="008F297E"/>
    <w:rsid w:val="008F3738"/>
    <w:rsid w:val="008F48BB"/>
    <w:rsid w:val="008F4ABF"/>
    <w:rsid w:val="008F4EF9"/>
    <w:rsid w:val="008F5115"/>
    <w:rsid w:val="008F5BF4"/>
    <w:rsid w:val="008F5CA1"/>
    <w:rsid w:val="008F5E92"/>
    <w:rsid w:val="008F6322"/>
    <w:rsid w:val="008F6504"/>
    <w:rsid w:val="008F67F6"/>
    <w:rsid w:val="008F6EFC"/>
    <w:rsid w:val="008F7386"/>
    <w:rsid w:val="008F7B05"/>
    <w:rsid w:val="00900B91"/>
    <w:rsid w:val="00900BAE"/>
    <w:rsid w:val="00900CF1"/>
    <w:rsid w:val="00900E82"/>
    <w:rsid w:val="00901269"/>
    <w:rsid w:val="00901273"/>
    <w:rsid w:val="0090134D"/>
    <w:rsid w:val="009013BF"/>
    <w:rsid w:val="009014C3"/>
    <w:rsid w:val="00901640"/>
    <w:rsid w:val="009017ED"/>
    <w:rsid w:val="0090215B"/>
    <w:rsid w:val="009022AD"/>
    <w:rsid w:val="0090296B"/>
    <w:rsid w:val="00902ECB"/>
    <w:rsid w:val="0090328C"/>
    <w:rsid w:val="009032E9"/>
    <w:rsid w:val="00903BE9"/>
    <w:rsid w:val="00903C3D"/>
    <w:rsid w:val="00904611"/>
    <w:rsid w:val="00904720"/>
    <w:rsid w:val="00904814"/>
    <w:rsid w:val="009048D7"/>
    <w:rsid w:val="0090599B"/>
    <w:rsid w:val="00905EF3"/>
    <w:rsid w:val="00905FC6"/>
    <w:rsid w:val="00905FC9"/>
    <w:rsid w:val="00905FD6"/>
    <w:rsid w:val="0090657B"/>
    <w:rsid w:val="00906F20"/>
    <w:rsid w:val="00906F64"/>
    <w:rsid w:val="009073A3"/>
    <w:rsid w:val="0090759B"/>
    <w:rsid w:val="00907D65"/>
    <w:rsid w:val="0091023A"/>
    <w:rsid w:val="00910558"/>
    <w:rsid w:val="00911081"/>
    <w:rsid w:val="00911244"/>
    <w:rsid w:val="0091240A"/>
    <w:rsid w:val="009127FF"/>
    <w:rsid w:val="0091280C"/>
    <w:rsid w:val="00912D06"/>
    <w:rsid w:val="00913C9A"/>
    <w:rsid w:val="00914033"/>
    <w:rsid w:val="00914981"/>
    <w:rsid w:val="00914988"/>
    <w:rsid w:val="00914C64"/>
    <w:rsid w:val="009156FE"/>
    <w:rsid w:val="00915D74"/>
    <w:rsid w:val="009169B2"/>
    <w:rsid w:val="00916DE3"/>
    <w:rsid w:val="00916F7F"/>
    <w:rsid w:val="00917331"/>
    <w:rsid w:val="009177FB"/>
    <w:rsid w:val="009178E1"/>
    <w:rsid w:val="00917A89"/>
    <w:rsid w:val="00917C38"/>
    <w:rsid w:val="00917D92"/>
    <w:rsid w:val="009204E6"/>
    <w:rsid w:val="009205E0"/>
    <w:rsid w:val="00920A4F"/>
    <w:rsid w:val="00920FA9"/>
    <w:rsid w:val="0092158A"/>
    <w:rsid w:val="00921BD2"/>
    <w:rsid w:val="00921C05"/>
    <w:rsid w:val="00921DFE"/>
    <w:rsid w:val="00922742"/>
    <w:rsid w:val="00922A68"/>
    <w:rsid w:val="00922A7B"/>
    <w:rsid w:val="00922DFF"/>
    <w:rsid w:val="00922F63"/>
    <w:rsid w:val="00922FA1"/>
    <w:rsid w:val="00923376"/>
    <w:rsid w:val="0092343D"/>
    <w:rsid w:val="009237CE"/>
    <w:rsid w:val="00923962"/>
    <w:rsid w:val="00923CDC"/>
    <w:rsid w:val="00924086"/>
    <w:rsid w:val="0092442D"/>
    <w:rsid w:val="00924705"/>
    <w:rsid w:val="0092511D"/>
    <w:rsid w:val="00925120"/>
    <w:rsid w:val="00925BC5"/>
    <w:rsid w:val="00925D9E"/>
    <w:rsid w:val="00925EEE"/>
    <w:rsid w:val="00926416"/>
    <w:rsid w:val="0092643E"/>
    <w:rsid w:val="0092685C"/>
    <w:rsid w:val="00926B7A"/>
    <w:rsid w:val="00927089"/>
    <w:rsid w:val="00927443"/>
    <w:rsid w:val="009274DA"/>
    <w:rsid w:val="0092751B"/>
    <w:rsid w:val="00927983"/>
    <w:rsid w:val="00930402"/>
    <w:rsid w:val="00930518"/>
    <w:rsid w:val="009305EE"/>
    <w:rsid w:val="009308BE"/>
    <w:rsid w:val="00930C27"/>
    <w:rsid w:val="00931000"/>
    <w:rsid w:val="00931602"/>
    <w:rsid w:val="00931942"/>
    <w:rsid w:val="00931A5A"/>
    <w:rsid w:val="00931B45"/>
    <w:rsid w:val="0093223A"/>
    <w:rsid w:val="0093244C"/>
    <w:rsid w:val="009324B9"/>
    <w:rsid w:val="0093270B"/>
    <w:rsid w:val="00932955"/>
    <w:rsid w:val="00932A5E"/>
    <w:rsid w:val="009331BA"/>
    <w:rsid w:val="0093329E"/>
    <w:rsid w:val="00933840"/>
    <w:rsid w:val="009338AA"/>
    <w:rsid w:val="00933FD4"/>
    <w:rsid w:val="00934449"/>
    <w:rsid w:val="009346E0"/>
    <w:rsid w:val="009350A7"/>
    <w:rsid w:val="00935CF6"/>
    <w:rsid w:val="0093615C"/>
    <w:rsid w:val="00936408"/>
    <w:rsid w:val="00937116"/>
    <w:rsid w:val="009377EA"/>
    <w:rsid w:val="00937A7D"/>
    <w:rsid w:val="00937DD5"/>
    <w:rsid w:val="009404A4"/>
    <w:rsid w:val="00940ED4"/>
    <w:rsid w:val="00940FC3"/>
    <w:rsid w:val="009411F8"/>
    <w:rsid w:val="009413C6"/>
    <w:rsid w:val="00942305"/>
    <w:rsid w:val="00942346"/>
    <w:rsid w:val="009429F4"/>
    <w:rsid w:val="00942AA5"/>
    <w:rsid w:val="00943242"/>
    <w:rsid w:val="00943295"/>
    <w:rsid w:val="00943529"/>
    <w:rsid w:val="0094385A"/>
    <w:rsid w:val="00943C99"/>
    <w:rsid w:val="00943C9C"/>
    <w:rsid w:val="00944C9D"/>
    <w:rsid w:val="00945241"/>
    <w:rsid w:val="009456BF"/>
    <w:rsid w:val="00945C25"/>
    <w:rsid w:val="00945E18"/>
    <w:rsid w:val="00945F24"/>
    <w:rsid w:val="0094603F"/>
    <w:rsid w:val="0094665D"/>
    <w:rsid w:val="009469E4"/>
    <w:rsid w:val="00946C0B"/>
    <w:rsid w:val="00947126"/>
    <w:rsid w:val="0094744E"/>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25"/>
    <w:rsid w:val="00951CF9"/>
    <w:rsid w:val="00951DEB"/>
    <w:rsid w:val="00951F71"/>
    <w:rsid w:val="00951F88"/>
    <w:rsid w:val="00952114"/>
    <w:rsid w:val="00952338"/>
    <w:rsid w:val="0095320E"/>
    <w:rsid w:val="00953AFE"/>
    <w:rsid w:val="00954095"/>
    <w:rsid w:val="0095419D"/>
    <w:rsid w:val="0095456C"/>
    <w:rsid w:val="009545A2"/>
    <w:rsid w:val="0095468C"/>
    <w:rsid w:val="00954BDF"/>
    <w:rsid w:val="00954EB1"/>
    <w:rsid w:val="00954F49"/>
    <w:rsid w:val="009555A3"/>
    <w:rsid w:val="00955E6F"/>
    <w:rsid w:val="00957021"/>
    <w:rsid w:val="00957788"/>
    <w:rsid w:val="00957B49"/>
    <w:rsid w:val="009608B4"/>
    <w:rsid w:val="00960A83"/>
    <w:rsid w:val="00961955"/>
    <w:rsid w:val="0096225D"/>
    <w:rsid w:val="00962295"/>
    <w:rsid w:val="00962549"/>
    <w:rsid w:val="00962565"/>
    <w:rsid w:val="00962A00"/>
    <w:rsid w:val="00962B74"/>
    <w:rsid w:val="00963234"/>
    <w:rsid w:val="009632A7"/>
    <w:rsid w:val="00963312"/>
    <w:rsid w:val="00963BC9"/>
    <w:rsid w:val="009643FC"/>
    <w:rsid w:val="00964A60"/>
    <w:rsid w:val="00964CBD"/>
    <w:rsid w:val="00964DEB"/>
    <w:rsid w:val="00965463"/>
    <w:rsid w:val="00965465"/>
    <w:rsid w:val="009657BA"/>
    <w:rsid w:val="00965A05"/>
    <w:rsid w:val="00965B1D"/>
    <w:rsid w:val="00966044"/>
    <w:rsid w:val="0096635E"/>
    <w:rsid w:val="009663B9"/>
    <w:rsid w:val="009666D1"/>
    <w:rsid w:val="00966A6F"/>
    <w:rsid w:val="00966A89"/>
    <w:rsid w:val="009671FC"/>
    <w:rsid w:val="009674AB"/>
    <w:rsid w:val="0096786D"/>
    <w:rsid w:val="009678F7"/>
    <w:rsid w:val="009700C1"/>
    <w:rsid w:val="009700C5"/>
    <w:rsid w:val="00970599"/>
    <w:rsid w:val="00970ED3"/>
    <w:rsid w:val="009715BD"/>
    <w:rsid w:val="0097165B"/>
    <w:rsid w:val="00971FED"/>
    <w:rsid w:val="00972055"/>
    <w:rsid w:val="00972540"/>
    <w:rsid w:val="00972FA7"/>
    <w:rsid w:val="009732E5"/>
    <w:rsid w:val="00974429"/>
    <w:rsid w:val="00975E21"/>
    <w:rsid w:val="00976058"/>
    <w:rsid w:val="00976D19"/>
    <w:rsid w:val="00976FF4"/>
    <w:rsid w:val="009770B4"/>
    <w:rsid w:val="009779FF"/>
    <w:rsid w:val="00977F29"/>
    <w:rsid w:val="0098080D"/>
    <w:rsid w:val="0098087C"/>
    <w:rsid w:val="009808F3"/>
    <w:rsid w:val="0098091A"/>
    <w:rsid w:val="009810CF"/>
    <w:rsid w:val="009811BB"/>
    <w:rsid w:val="009812A9"/>
    <w:rsid w:val="009815BB"/>
    <w:rsid w:val="00981DA6"/>
    <w:rsid w:val="00982D34"/>
    <w:rsid w:val="00982FF9"/>
    <w:rsid w:val="009830A3"/>
    <w:rsid w:val="009834A3"/>
    <w:rsid w:val="009834D6"/>
    <w:rsid w:val="009835E1"/>
    <w:rsid w:val="00983F83"/>
    <w:rsid w:val="00984A37"/>
    <w:rsid w:val="009853C4"/>
    <w:rsid w:val="0098561C"/>
    <w:rsid w:val="009859C5"/>
    <w:rsid w:val="00985AF0"/>
    <w:rsid w:val="00986030"/>
    <w:rsid w:val="00986609"/>
    <w:rsid w:val="0098763B"/>
    <w:rsid w:val="0098788D"/>
    <w:rsid w:val="00987A8C"/>
    <w:rsid w:val="009902B7"/>
    <w:rsid w:val="009903CC"/>
    <w:rsid w:val="00990515"/>
    <w:rsid w:val="0099085C"/>
    <w:rsid w:val="00990909"/>
    <w:rsid w:val="00990CEA"/>
    <w:rsid w:val="0099125B"/>
    <w:rsid w:val="00991824"/>
    <w:rsid w:val="0099197C"/>
    <w:rsid w:val="00991BBA"/>
    <w:rsid w:val="00991D62"/>
    <w:rsid w:val="009927B9"/>
    <w:rsid w:val="00992AAF"/>
    <w:rsid w:val="00993BFF"/>
    <w:rsid w:val="00993E44"/>
    <w:rsid w:val="00993FA9"/>
    <w:rsid w:val="0099404D"/>
    <w:rsid w:val="009940E7"/>
    <w:rsid w:val="00994651"/>
    <w:rsid w:val="00994AC7"/>
    <w:rsid w:val="0099582A"/>
    <w:rsid w:val="009959C7"/>
    <w:rsid w:val="00995D0A"/>
    <w:rsid w:val="00996EB8"/>
    <w:rsid w:val="0099706D"/>
    <w:rsid w:val="00997A9A"/>
    <w:rsid w:val="00997CB7"/>
    <w:rsid w:val="00997D1C"/>
    <w:rsid w:val="00997FC9"/>
    <w:rsid w:val="009A03E2"/>
    <w:rsid w:val="009A04B6"/>
    <w:rsid w:val="009A053E"/>
    <w:rsid w:val="009A0667"/>
    <w:rsid w:val="009A0AF2"/>
    <w:rsid w:val="009A0B7D"/>
    <w:rsid w:val="009A0D17"/>
    <w:rsid w:val="009A0FF8"/>
    <w:rsid w:val="009A1DBB"/>
    <w:rsid w:val="009A24D8"/>
    <w:rsid w:val="009A25FE"/>
    <w:rsid w:val="009A266D"/>
    <w:rsid w:val="009A294F"/>
    <w:rsid w:val="009A2B22"/>
    <w:rsid w:val="009A2C0E"/>
    <w:rsid w:val="009A2C56"/>
    <w:rsid w:val="009A3003"/>
    <w:rsid w:val="009A32CA"/>
    <w:rsid w:val="009A3811"/>
    <w:rsid w:val="009A3854"/>
    <w:rsid w:val="009A3E9B"/>
    <w:rsid w:val="009A4111"/>
    <w:rsid w:val="009A41D8"/>
    <w:rsid w:val="009A4517"/>
    <w:rsid w:val="009A45EE"/>
    <w:rsid w:val="009A47CA"/>
    <w:rsid w:val="009A4813"/>
    <w:rsid w:val="009A4893"/>
    <w:rsid w:val="009A4962"/>
    <w:rsid w:val="009A529A"/>
    <w:rsid w:val="009A5850"/>
    <w:rsid w:val="009A5A7B"/>
    <w:rsid w:val="009A6031"/>
    <w:rsid w:val="009A6033"/>
    <w:rsid w:val="009A66C8"/>
    <w:rsid w:val="009A6713"/>
    <w:rsid w:val="009A6B89"/>
    <w:rsid w:val="009A6C0C"/>
    <w:rsid w:val="009A6CFE"/>
    <w:rsid w:val="009A7451"/>
    <w:rsid w:val="009A752B"/>
    <w:rsid w:val="009A78C1"/>
    <w:rsid w:val="009A7E2F"/>
    <w:rsid w:val="009A7F94"/>
    <w:rsid w:val="009B03B0"/>
    <w:rsid w:val="009B03B8"/>
    <w:rsid w:val="009B0C14"/>
    <w:rsid w:val="009B0D96"/>
    <w:rsid w:val="009B0EEA"/>
    <w:rsid w:val="009B17A4"/>
    <w:rsid w:val="009B204B"/>
    <w:rsid w:val="009B23DA"/>
    <w:rsid w:val="009B259A"/>
    <w:rsid w:val="009B2E7F"/>
    <w:rsid w:val="009B3491"/>
    <w:rsid w:val="009B393E"/>
    <w:rsid w:val="009B3BB4"/>
    <w:rsid w:val="009B4FEA"/>
    <w:rsid w:val="009B5045"/>
    <w:rsid w:val="009B50DE"/>
    <w:rsid w:val="009B5E12"/>
    <w:rsid w:val="009B6128"/>
    <w:rsid w:val="009B6600"/>
    <w:rsid w:val="009B6BA0"/>
    <w:rsid w:val="009B6CD2"/>
    <w:rsid w:val="009B791D"/>
    <w:rsid w:val="009B7BDD"/>
    <w:rsid w:val="009C0107"/>
    <w:rsid w:val="009C053E"/>
    <w:rsid w:val="009C07F0"/>
    <w:rsid w:val="009C0895"/>
    <w:rsid w:val="009C096B"/>
    <w:rsid w:val="009C0977"/>
    <w:rsid w:val="009C0BDB"/>
    <w:rsid w:val="009C1F60"/>
    <w:rsid w:val="009C2764"/>
    <w:rsid w:val="009C27ED"/>
    <w:rsid w:val="009C28BB"/>
    <w:rsid w:val="009C2E0C"/>
    <w:rsid w:val="009C3135"/>
    <w:rsid w:val="009C3CBE"/>
    <w:rsid w:val="009C4170"/>
    <w:rsid w:val="009C4187"/>
    <w:rsid w:val="009C43E9"/>
    <w:rsid w:val="009C44E2"/>
    <w:rsid w:val="009C46A1"/>
    <w:rsid w:val="009C5053"/>
    <w:rsid w:val="009C5129"/>
    <w:rsid w:val="009C5142"/>
    <w:rsid w:val="009C51C7"/>
    <w:rsid w:val="009C52E5"/>
    <w:rsid w:val="009C5947"/>
    <w:rsid w:val="009C5BE5"/>
    <w:rsid w:val="009C6070"/>
    <w:rsid w:val="009C63C6"/>
    <w:rsid w:val="009C6738"/>
    <w:rsid w:val="009C6B32"/>
    <w:rsid w:val="009C6E5E"/>
    <w:rsid w:val="009C7156"/>
    <w:rsid w:val="009C72D2"/>
    <w:rsid w:val="009C7A9C"/>
    <w:rsid w:val="009D0295"/>
    <w:rsid w:val="009D0597"/>
    <w:rsid w:val="009D123D"/>
    <w:rsid w:val="009D1E85"/>
    <w:rsid w:val="009D2245"/>
    <w:rsid w:val="009D28C9"/>
    <w:rsid w:val="009D307D"/>
    <w:rsid w:val="009D30A2"/>
    <w:rsid w:val="009D3103"/>
    <w:rsid w:val="009D3157"/>
    <w:rsid w:val="009D33C9"/>
    <w:rsid w:val="009D349D"/>
    <w:rsid w:val="009D36AF"/>
    <w:rsid w:val="009D38F6"/>
    <w:rsid w:val="009D3F5A"/>
    <w:rsid w:val="009D4222"/>
    <w:rsid w:val="009D4A61"/>
    <w:rsid w:val="009D4C65"/>
    <w:rsid w:val="009D4E0E"/>
    <w:rsid w:val="009D520B"/>
    <w:rsid w:val="009D5633"/>
    <w:rsid w:val="009D5706"/>
    <w:rsid w:val="009D5950"/>
    <w:rsid w:val="009D5AD3"/>
    <w:rsid w:val="009D617D"/>
    <w:rsid w:val="009D67B9"/>
    <w:rsid w:val="009D6ABC"/>
    <w:rsid w:val="009D6B08"/>
    <w:rsid w:val="009D6F96"/>
    <w:rsid w:val="009D71B4"/>
    <w:rsid w:val="009D732A"/>
    <w:rsid w:val="009D73CD"/>
    <w:rsid w:val="009D77B2"/>
    <w:rsid w:val="009D7996"/>
    <w:rsid w:val="009D7B99"/>
    <w:rsid w:val="009D7C40"/>
    <w:rsid w:val="009D7F1D"/>
    <w:rsid w:val="009D7FD4"/>
    <w:rsid w:val="009E00E4"/>
    <w:rsid w:val="009E036E"/>
    <w:rsid w:val="009E0485"/>
    <w:rsid w:val="009E0647"/>
    <w:rsid w:val="009E0BF9"/>
    <w:rsid w:val="009E0C0A"/>
    <w:rsid w:val="009E0CCD"/>
    <w:rsid w:val="009E1A44"/>
    <w:rsid w:val="009E1AB6"/>
    <w:rsid w:val="009E2073"/>
    <w:rsid w:val="009E2333"/>
    <w:rsid w:val="009E2993"/>
    <w:rsid w:val="009E3217"/>
    <w:rsid w:val="009E3639"/>
    <w:rsid w:val="009E399E"/>
    <w:rsid w:val="009E3FDE"/>
    <w:rsid w:val="009E4C50"/>
    <w:rsid w:val="009E548D"/>
    <w:rsid w:val="009E5818"/>
    <w:rsid w:val="009E5B58"/>
    <w:rsid w:val="009E5C94"/>
    <w:rsid w:val="009E5E05"/>
    <w:rsid w:val="009E60F4"/>
    <w:rsid w:val="009E63EC"/>
    <w:rsid w:val="009E648A"/>
    <w:rsid w:val="009E67D9"/>
    <w:rsid w:val="009E6817"/>
    <w:rsid w:val="009E6EF1"/>
    <w:rsid w:val="009E755C"/>
    <w:rsid w:val="009E7A9F"/>
    <w:rsid w:val="009F02AA"/>
    <w:rsid w:val="009F09FC"/>
    <w:rsid w:val="009F0DB1"/>
    <w:rsid w:val="009F1065"/>
    <w:rsid w:val="009F1522"/>
    <w:rsid w:val="009F17D5"/>
    <w:rsid w:val="009F1A5B"/>
    <w:rsid w:val="009F1FDA"/>
    <w:rsid w:val="009F2199"/>
    <w:rsid w:val="009F27DB"/>
    <w:rsid w:val="009F2CC5"/>
    <w:rsid w:val="009F2D7E"/>
    <w:rsid w:val="009F2DC0"/>
    <w:rsid w:val="009F2E2E"/>
    <w:rsid w:val="009F2E90"/>
    <w:rsid w:val="009F30F8"/>
    <w:rsid w:val="009F327E"/>
    <w:rsid w:val="009F330D"/>
    <w:rsid w:val="009F3610"/>
    <w:rsid w:val="009F365B"/>
    <w:rsid w:val="009F367F"/>
    <w:rsid w:val="009F3D32"/>
    <w:rsid w:val="009F3E78"/>
    <w:rsid w:val="009F40DC"/>
    <w:rsid w:val="009F411D"/>
    <w:rsid w:val="009F4542"/>
    <w:rsid w:val="009F4822"/>
    <w:rsid w:val="009F5906"/>
    <w:rsid w:val="009F5BE7"/>
    <w:rsid w:val="009F610E"/>
    <w:rsid w:val="009F6E61"/>
    <w:rsid w:val="009F6FF4"/>
    <w:rsid w:val="009F773B"/>
    <w:rsid w:val="009F77F0"/>
    <w:rsid w:val="009F7C05"/>
    <w:rsid w:val="009F7E40"/>
    <w:rsid w:val="009F7E63"/>
    <w:rsid w:val="00A0010E"/>
    <w:rsid w:val="00A004E2"/>
    <w:rsid w:val="00A006E6"/>
    <w:rsid w:val="00A00847"/>
    <w:rsid w:val="00A01498"/>
    <w:rsid w:val="00A0156B"/>
    <w:rsid w:val="00A01B6B"/>
    <w:rsid w:val="00A01C81"/>
    <w:rsid w:val="00A01E31"/>
    <w:rsid w:val="00A0201E"/>
    <w:rsid w:val="00A0222D"/>
    <w:rsid w:val="00A025BB"/>
    <w:rsid w:val="00A0277C"/>
    <w:rsid w:val="00A0332C"/>
    <w:rsid w:val="00A03529"/>
    <w:rsid w:val="00A03905"/>
    <w:rsid w:val="00A03955"/>
    <w:rsid w:val="00A0414F"/>
    <w:rsid w:val="00A04347"/>
    <w:rsid w:val="00A04391"/>
    <w:rsid w:val="00A04E63"/>
    <w:rsid w:val="00A05266"/>
    <w:rsid w:val="00A059F3"/>
    <w:rsid w:val="00A05FC5"/>
    <w:rsid w:val="00A06069"/>
    <w:rsid w:val="00A0606A"/>
    <w:rsid w:val="00A0623A"/>
    <w:rsid w:val="00A06378"/>
    <w:rsid w:val="00A0671F"/>
    <w:rsid w:val="00A069F7"/>
    <w:rsid w:val="00A074F7"/>
    <w:rsid w:val="00A07611"/>
    <w:rsid w:val="00A078B6"/>
    <w:rsid w:val="00A0796E"/>
    <w:rsid w:val="00A07FA8"/>
    <w:rsid w:val="00A10758"/>
    <w:rsid w:val="00A10A37"/>
    <w:rsid w:val="00A10AF5"/>
    <w:rsid w:val="00A10F5C"/>
    <w:rsid w:val="00A11317"/>
    <w:rsid w:val="00A113B9"/>
    <w:rsid w:val="00A126B4"/>
    <w:rsid w:val="00A1277C"/>
    <w:rsid w:val="00A129CC"/>
    <w:rsid w:val="00A12D77"/>
    <w:rsid w:val="00A12DE7"/>
    <w:rsid w:val="00A13330"/>
    <w:rsid w:val="00A1374D"/>
    <w:rsid w:val="00A1397A"/>
    <w:rsid w:val="00A13A79"/>
    <w:rsid w:val="00A13F1B"/>
    <w:rsid w:val="00A1456E"/>
    <w:rsid w:val="00A145BD"/>
    <w:rsid w:val="00A14888"/>
    <w:rsid w:val="00A14A1B"/>
    <w:rsid w:val="00A14C8B"/>
    <w:rsid w:val="00A14C9F"/>
    <w:rsid w:val="00A14DA5"/>
    <w:rsid w:val="00A14E01"/>
    <w:rsid w:val="00A1507E"/>
    <w:rsid w:val="00A15442"/>
    <w:rsid w:val="00A15452"/>
    <w:rsid w:val="00A155D9"/>
    <w:rsid w:val="00A15635"/>
    <w:rsid w:val="00A1576F"/>
    <w:rsid w:val="00A158D0"/>
    <w:rsid w:val="00A1596E"/>
    <w:rsid w:val="00A164A0"/>
    <w:rsid w:val="00A16765"/>
    <w:rsid w:val="00A16A3C"/>
    <w:rsid w:val="00A16A53"/>
    <w:rsid w:val="00A16B84"/>
    <w:rsid w:val="00A16D71"/>
    <w:rsid w:val="00A17F9B"/>
    <w:rsid w:val="00A17FEC"/>
    <w:rsid w:val="00A20049"/>
    <w:rsid w:val="00A20B98"/>
    <w:rsid w:val="00A2124D"/>
    <w:rsid w:val="00A21BB9"/>
    <w:rsid w:val="00A21CB1"/>
    <w:rsid w:val="00A22431"/>
    <w:rsid w:val="00A224E0"/>
    <w:rsid w:val="00A22596"/>
    <w:rsid w:val="00A227AB"/>
    <w:rsid w:val="00A22C09"/>
    <w:rsid w:val="00A22C69"/>
    <w:rsid w:val="00A22F4A"/>
    <w:rsid w:val="00A2360D"/>
    <w:rsid w:val="00A236D4"/>
    <w:rsid w:val="00A23BD9"/>
    <w:rsid w:val="00A23C4A"/>
    <w:rsid w:val="00A24766"/>
    <w:rsid w:val="00A24CF8"/>
    <w:rsid w:val="00A24F4C"/>
    <w:rsid w:val="00A25309"/>
    <w:rsid w:val="00A2533B"/>
    <w:rsid w:val="00A254DF"/>
    <w:rsid w:val="00A254EF"/>
    <w:rsid w:val="00A25BA8"/>
    <w:rsid w:val="00A261A4"/>
    <w:rsid w:val="00A26742"/>
    <w:rsid w:val="00A2697C"/>
    <w:rsid w:val="00A26BD3"/>
    <w:rsid w:val="00A26EA0"/>
    <w:rsid w:val="00A27253"/>
    <w:rsid w:val="00A3026F"/>
    <w:rsid w:val="00A303C8"/>
    <w:rsid w:val="00A30809"/>
    <w:rsid w:val="00A30DEE"/>
    <w:rsid w:val="00A30F84"/>
    <w:rsid w:val="00A31263"/>
    <w:rsid w:val="00A31363"/>
    <w:rsid w:val="00A31F51"/>
    <w:rsid w:val="00A32478"/>
    <w:rsid w:val="00A328DC"/>
    <w:rsid w:val="00A32E50"/>
    <w:rsid w:val="00A33042"/>
    <w:rsid w:val="00A3318F"/>
    <w:rsid w:val="00A331A1"/>
    <w:rsid w:val="00A339BE"/>
    <w:rsid w:val="00A33B72"/>
    <w:rsid w:val="00A33C9E"/>
    <w:rsid w:val="00A349A8"/>
    <w:rsid w:val="00A34C83"/>
    <w:rsid w:val="00A34CDC"/>
    <w:rsid w:val="00A35041"/>
    <w:rsid w:val="00A35154"/>
    <w:rsid w:val="00A3527A"/>
    <w:rsid w:val="00A3530E"/>
    <w:rsid w:val="00A357B2"/>
    <w:rsid w:val="00A360E1"/>
    <w:rsid w:val="00A36180"/>
    <w:rsid w:val="00A363A0"/>
    <w:rsid w:val="00A363B6"/>
    <w:rsid w:val="00A36663"/>
    <w:rsid w:val="00A3684E"/>
    <w:rsid w:val="00A36992"/>
    <w:rsid w:val="00A36AFE"/>
    <w:rsid w:val="00A36B2A"/>
    <w:rsid w:val="00A36F2F"/>
    <w:rsid w:val="00A3725B"/>
    <w:rsid w:val="00A37545"/>
    <w:rsid w:val="00A37899"/>
    <w:rsid w:val="00A37A4F"/>
    <w:rsid w:val="00A37DA5"/>
    <w:rsid w:val="00A37FA5"/>
    <w:rsid w:val="00A40652"/>
    <w:rsid w:val="00A40A0C"/>
    <w:rsid w:val="00A40B4D"/>
    <w:rsid w:val="00A40EDB"/>
    <w:rsid w:val="00A410BC"/>
    <w:rsid w:val="00A416C4"/>
    <w:rsid w:val="00A41D7E"/>
    <w:rsid w:val="00A41FFB"/>
    <w:rsid w:val="00A42A77"/>
    <w:rsid w:val="00A42B73"/>
    <w:rsid w:val="00A42B77"/>
    <w:rsid w:val="00A42C1D"/>
    <w:rsid w:val="00A43271"/>
    <w:rsid w:val="00A43336"/>
    <w:rsid w:val="00A4347F"/>
    <w:rsid w:val="00A434A1"/>
    <w:rsid w:val="00A43545"/>
    <w:rsid w:val="00A435E1"/>
    <w:rsid w:val="00A43ADD"/>
    <w:rsid w:val="00A43F38"/>
    <w:rsid w:val="00A44505"/>
    <w:rsid w:val="00A446B5"/>
    <w:rsid w:val="00A4479E"/>
    <w:rsid w:val="00A448DC"/>
    <w:rsid w:val="00A44910"/>
    <w:rsid w:val="00A44954"/>
    <w:rsid w:val="00A44DE1"/>
    <w:rsid w:val="00A450AC"/>
    <w:rsid w:val="00A4533A"/>
    <w:rsid w:val="00A456A3"/>
    <w:rsid w:val="00A457DC"/>
    <w:rsid w:val="00A45F05"/>
    <w:rsid w:val="00A467E8"/>
    <w:rsid w:val="00A471EC"/>
    <w:rsid w:val="00A47A63"/>
    <w:rsid w:val="00A47AB7"/>
    <w:rsid w:val="00A47B1E"/>
    <w:rsid w:val="00A47D4C"/>
    <w:rsid w:val="00A47F2D"/>
    <w:rsid w:val="00A5022D"/>
    <w:rsid w:val="00A502AD"/>
    <w:rsid w:val="00A5094B"/>
    <w:rsid w:val="00A50EC1"/>
    <w:rsid w:val="00A50FB7"/>
    <w:rsid w:val="00A5137A"/>
    <w:rsid w:val="00A5139D"/>
    <w:rsid w:val="00A51A4A"/>
    <w:rsid w:val="00A51C23"/>
    <w:rsid w:val="00A52742"/>
    <w:rsid w:val="00A53279"/>
    <w:rsid w:val="00A5327B"/>
    <w:rsid w:val="00A532DE"/>
    <w:rsid w:val="00A532F6"/>
    <w:rsid w:val="00A533DA"/>
    <w:rsid w:val="00A53650"/>
    <w:rsid w:val="00A53E1C"/>
    <w:rsid w:val="00A53F55"/>
    <w:rsid w:val="00A54716"/>
    <w:rsid w:val="00A54813"/>
    <w:rsid w:val="00A54A7D"/>
    <w:rsid w:val="00A54D59"/>
    <w:rsid w:val="00A54E23"/>
    <w:rsid w:val="00A550EE"/>
    <w:rsid w:val="00A555F4"/>
    <w:rsid w:val="00A55C27"/>
    <w:rsid w:val="00A56198"/>
    <w:rsid w:val="00A56308"/>
    <w:rsid w:val="00A56619"/>
    <w:rsid w:val="00A567CC"/>
    <w:rsid w:val="00A567F2"/>
    <w:rsid w:val="00A56C2C"/>
    <w:rsid w:val="00A56E63"/>
    <w:rsid w:val="00A576E3"/>
    <w:rsid w:val="00A57984"/>
    <w:rsid w:val="00A57A17"/>
    <w:rsid w:val="00A57A49"/>
    <w:rsid w:val="00A57AFE"/>
    <w:rsid w:val="00A604E8"/>
    <w:rsid w:val="00A6059B"/>
    <w:rsid w:val="00A60FFC"/>
    <w:rsid w:val="00A610EE"/>
    <w:rsid w:val="00A61415"/>
    <w:rsid w:val="00A615F2"/>
    <w:rsid w:val="00A6162C"/>
    <w:rsid w:val="00A61BE5"/>
    <w:rsid w:val="00A61D34"/>
    <w:rsid w:val="00A61FC2"/>
    <w:rsid w:val="00A62849"/>
    <w:rsid w:val="00A63129"/>
    <w:rsid w:val="00A6312B"/>
    <w:rsid w:val="00A632A6"/>
    <w:rsid w:val="00A63623"/>
    <w:rsid w:val="00A63C4F"/>
    <w:rsid w:val="00A63FF0"/>
    <w:rsid w:val="00A640A0"/>
    <w:rsid w:val="00A648DA"/>
    <w:rsid w:val="00A64EB0"/>
    <w:rsid w:val="00A65311"/>
    <w:rsid w:val="00A658E6"/>
    <w:rsid w:val="00A65F2C"/>
    <w:rsid w:val="00A66082"/>
    <w:rsid w:val="00A66385"/>
    <w:rsid w:val="00A666C7"/>
    <w:rsid w:val="00A66823"/>
    <w:rsid w:val="00A66964"/>
    <w:rsid w:val="00A66B1D"/>
    <w:rsid w:val="00A66C10"/>
    <w:rsid w:val="00A66CB9"/>
    <w:rsid w:val="00A6737B"/>
    <w:rsid w:val="00A67422"/>
    <w:rsid w:val="00A676CF"/>
    <w:rsid w:val="00A67732"/>
    <w:rsid w:val="00A677C0"/>
    <w:rsid w:val="00A67975"/>
    <w:rsid w:val="00A67A20"/>
    <w:rsid w:val="00A70362"/>
    <w:rsid w:val="00A703C4"/>
    <w:rsid w:val="00A704B9"/>
    <w:rsid w:val="00A7062D"/>
    <w:rsid w:val="00A70B94"/>
    <w:rsid w:val="00A710AA"/>
    <w:rsid w:val="00A712FC"/>
    <w:rsid w:val="00A71A0D"/>
    <w:rsid w:val="00A71E2C"/>
    <w:rsid w:val="00A724FB"/>
    <w:rsid w:val="00A72A8F"/>
    <w:rsid w:val="00A72ABF"/>
    <w:rsid w:val="00A72ADE"/>
    <w:rsid w:val="00A73085"/>
    <w:rsid w:val="00A73316"/>
    <w:rsid w:val="00A73AF8"/>
    <w:rsid w:val="00A7402F"/>
    <w:rsid w:val="00A7437C"/>
    <w:rsid w:val="00A75176"/>
    <w:rsid w:val="00A7524F"/>
    <w:rsid w:val="00A7543D"/>
    <w:rsid w:val="00A7573C"/>
    <w:rsid w:val="00A7607D"/>
    <w:rsid w:val="00A76496"/>
    <w:rsid w:val="00A76B88"/>
    <w:rsid w:val="00A76C08"/>
    <w:rsid w:val="00A76C26"/>
    <w:rsid w:val="00A76D64"/>
    <w:rsid w:val="00A77404"/>
    <w:rsid w:val="00A7751E"/>
    <w:rsid w:val="00A778D5"/>
    <w:rsid w:val="00A77E75"/>
    <w:rsid w:val="00A77FDD"/>
    <w:rsid w:val="00A80568"/>
    <w:rsid w:val="00A80745"/>
    <w:rsid w:val="00A80A59"/>
    <w:rsid w:val="00A81237"/>
    <w:rsid w:val="00A81512"/>
    <w:rsid w:val="00A816D3"/>
    <w:rsid w:val="00A81A2F"/>
    <w:rsid w:val="00A8209F"/>
    <w:rsid w:val="00A8232B"/>
    <w:rsid w:val="00A826E3"/>
    <w:rsid w:val="00A82A49"/>
    <w:rsid w:val="00A834D5"/>
    <w:rsid w:val="00A838EA"/>
    <w:rsid w:val="00A839A1"/>
    <w:rsid w:val="00A83B7E"/>
    <w:rsid w:val="00A83C4B"/>
    <w:rsid w:val="00A83DAB"/>
    <w:rsid w:val="00A84400"/>
    <w:rsid w:val="00A8471A"/>
    <w:rsid w:val="00A8492D"/>
    <w:rsid w:val="00A84B04"/>
    <w:rsid w:val="00A84DB3"/>
    <w:rsid w:val="00A84E75"/>
    <w:rsid w:val="00A85836"/>
    <w:rsid w:val="00A8633D"/>
    <w:rsid w:val="00A86386"/>
    <w:rsid w:val="00A863D9"/>
    <w:rsid w:val="00A86515"/>
    <w:rsid w:val="00A867CF"/>
    <w:rsid w:val="00A86A66"/>
    <w:rsid w:val="00A87032"/>
    <w:rsid w:val="00A870BF"/>
    <w:rsid w:val="00A870E8"/>
    <w:rsid w:val="00A87A0D"/>
    <w:rsid w:val="00A87EA8"/>
    <w:rsid w:val="00A90563"/>
    <w:rsid w:val="00A906B6"/>
    <w:rsid w:val="00A91035"/>
    <w:rsid w:val="00A91CFF"/>
    <w:rsid w:val="00A92309"/>
    <w:rsid w:val="00A924D2"/>
    <w:rsid w:val="00A92568"/>
    <w:rsid w:val="00A92C2E"/>
    <w:rsid w:val="00A92CC1"/>
    <w:rsid w:val="00A92DD7"/>
    <w:rsid w:val="00A92E4C"/>
    <w:rsid w:val="00A931EC"/>
    <w:rsid w:val="00A934EC"/>
    <w:rsid w:val="00A9390E"/>
    <w:rsid w:val="00A9393D"/>
    <w:rsid w:val="00A943A8"/>
    <w:rsid w:val="00A94BF5"/>
    <w:rsid w:val="00A94DDA"/>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A6A"/>
    <w:rsid w:val="00A97B38"/>
    <w:rsid w:val="00A97CE8"/>
    <w:rsid w:val="00AA0347"/>
    <w:rsid w:val="00AA078B"/>
    <w:rsid w:val="00AA0C24"/>
    <w:rsid w:val="00AA1AF9"/>
    <w:rsid w:val="00AA21F6"/>
    <w:rsid w:val="00AA2D44"/>
    <w:rsid w:val="00AA3ACB"/>
    <w:rsid w:val="00AA3F4C"/>
    <w:rsid w:val="00AA440A"/>
    <w:rsid w:val="00AA4666"/>
    <w:rsid w:val="00AA4A16"/>
    <w:rsid w:val="00AA4D3E"/>
    <w:rsid w:val="00AA4F10"/>
    <w:rsid w:val="00AA562B"/>
    <w:rsid w:val="00AA6089"/>
    <w:rsid w:val="00AA6335"/>
    <w:rsid w:val="00AA69E9"/>
    <w:rsid w:val="00AA6C45"/>
    <w:rsid w:val="00AA72A3"/>
    <w:rsid w:val="00AA7773"/>
    <w:rsid w:val="00AA79B5"/>
    <w:rsid w:val="00AB0F0C"/>
    <w:rsid w:val="00AB11AD"/>
    <w:rsid w:val="00AB147F"/>
    <w:rsid w:val="00AB1526"/>
    <w:rsid w:val="00AB19F0"/>
    <w:rsid w:val="00AB19FE"/>
    <w:rsid w:val="00AB247D"/>
    <w:rsid w:val="00AB325B"/>
    <w:rsid w:val="00AB35E2"/>
    <w:rsid w:val="00AB37D3"/>
    <w:rsid w:val="00AB3B85"/>
    <w:rsid w:val="00AB3F79"/>
    <w:rsid w:val="00AB5884"/>
    <w:rsid w:val="00AB5A63"/>
    <w:rsid w:val="00AB5CB7"/>
    <w:rsid w:val="00AB6623"/>
    <w:rsid w:val="00AB6762"/>
    <w:rsid w:val="00AB7195"/>
    <w:rsid w:val="00AB7854"/>
    <w:rsid w:val="00AB7F84"/>
    <w:rsid w:val="00AC002A"/>
    <w:rsid w:val="00AC0959"/>
    <w:rsid w:val="00AC0AED"/>
    <w:rsid w:val="00AC0D2C"/>
    <w:rsid w:val="00AC143D"/>
    <w:rsid w:val="00AC1824"/>
    <w:rsid w:val="00AC1C91"/>
    <w:rsid w:val="00AC210A"/>
    <w:rsid w:val="00AC260A"/>
    <w:rsid w:val="00AC2AF1"/>
    <w:rsid w:val="00AC2C4B"/>
    <w:rsid w:val="00AC2D82"/>
    <w:rsid w:val="00AC3001"/>
    <w:rsid w:val="00AC3308"/>
    <w:rsid w:val="00AC34EB"/>
    <w:rsid w:val="00AC38DC"/>
    <w:rsid w:val="00AC3C66"/>
    <w:rsid w:val="00AC3D66"/>
    <w:rsid w:val="00AC3DC8"/>
    <w:rsid w:val="00AC4039"/>
    <w:rsid w:val="00AC438A"/>
    <w:rsid w:val="00AC5161"/>
    <w:rsid w:val="00AC558A"/>
    <w:rsid w:val="00AC5812"/>
    <w:rsid w:val="00AC594D"/>
    <w:rsid w:val="00AC5996"/>
    <w:rsid w:val="00AC5C91"/>
    <w:rsid w:val="00AC5EA9"/>
    <w:rsid w:val="00AC5ED1"/>
    <w:rsid w:val="00AC6408"/>
    <w:rsid w:val="00AC64FD"/>
    <w:rsid w:val="00AC68F9"/>
    <w:rsid w:val="00AC6E80"/>
    <w:rsid w:val="00AC702A"/>
    <w:rsid w:val="00AC70FA"/>
    <w:rsid w:val="00AC758A"/>
    <w:rsid w:val="00AC79FC"/>
    <w:rsid w:val="00AC7D84"/>
    <w:rsid w:val="00AC7DB3"/>
    <w:rsid w:val="00AC7DFD"/>
    <w:rsid w:val="00AD0140"/>
    <w:rsid w:val="00AD08B4"/>
    <w:rsid w:val="00AD1B9A"/>
    <w:rsid w:val="00AD1D52"/>
    <w:rsid w:val="00AD1F18"/>
    <w:rsid w:val="00AD204E"/>
    <w:rsid w:val="00AD2099"/>
    <w:rsid w:val="00AD21F4"/>
    <w:rsid w:val="00AD22B6"/>
    <w:rsid w:val="00AD2322"/>
    <w:rsid w:val="00AD2372"/>
    <w:rsid w:val="00AD2417"/>
    <w:rsid w:val="00AD2B13"/>
    <w:rsid w:val="00AD2FD5"/>
    <w:rsid w:val="00AD365F"/>
    <w:rsid w:val="00AD36D5"/>
    <w:rsid w:val="00AD396C"/>
    <w:rsid w:val="00AD3BDE"/>
    <w:rsid w:val="00AD3E80"/>
    <w:rsid w:val="00AD432B"/>
    <w:rsid w:val="00AD436B"/>
    <w:rsid w:val="00AD439D"/>
    <w:rsid w:val="00AD44E0"/>
    <w:rsid w:val="00AD4AC8"/>
    <w:rsid w:val="00AD4D73"/>
    <w:rsid w:val="00AD5264"/>
    <w:rsid w:val="00AD54F5"/>
    <w:rsid w:val="00AD5572"/>
    <w:rsid w:val="00AD5BAD"/>
    <w:rsid w:val="00AD5EC6"/>
    <w:rsid w:val="00AD620D"/>
    <w:rsid w:val="00AD6821"/>
    <w:rsid w:val="00AD6B5B"/>
    <w:rsid w:val="00AD71DB"/>
    <w:rsid w:val="00AD726A"/>
    <w:rsid w:val="00AD7910"/>
    <w:rsid w:val="00AE01AB"/>
    <w:rsid w:val="00AE0DDE"/>
    <w:rsid w:val="00AE107E"/>
    <w:rsid w:val="00AE1475"/>
    <w:rsid w:val="00AE164C"/>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72A"/>
    <w:rsid w:val="00AE3E73"/>
    <w:rsid w:val="00AE3F15"/>
    <w:rsid w:val="00AE40A7"/>
    <w:rsid w:val="00AE45CD"/>
    <w:rsid w:val="00AE4997"/>
    <w:rsid w:val="00AE4A27"/>
    <w:rsid w:val="00AE51EA"/>
    <w:rsid w:val="00AE57BE"/>
    <w:rsid w:val="00AE5B47"/>
    <w:rsid w:val="00AE5B6B"/>
    <w:rsid w:val="00AE5ED0"/>
    <w:rsid w:val="00AE5FE3"/>
    <w:rsid w:val="00AE687D"/>
    <w:rsid w:val="00AE6F4D"/>
    <w:rsid w:val="00AE7542"/>
    <w:rsid w:val="00AE77D1"/>
    <w:rsid w:val="00AE799F"/>
    <w:rsid w:val="00AF01F1"/>
    <w:rsid w:val="00AF0777"/>
    <w:rsid w:val="00AF0E54"/>
    <w:rsid w:val="00AF1360"/>
    <w:rsid w:val="00AF1958"/>
    <w:rsid w:val="00AF1DDD"/>
    <w:rsid w:val="00AF313B"/>
    <w:rsid w:val="00AF3709"/>
    <w:rsid w:val="00AF383E"/>
    <w:rsid w:val="00AF39A6"/>
    <w:rsid w:val="00AF3B7E"/>
    <w:rsid w:val="00AF3BFF"/>
    <w:rsid w:val="00AF3E58"/>
    <w:rsid w:val="00AF44F3"/>
    <w:rsid w:val="00AF453C"/>
    <w:rsid w:val="00AF467C"/>
    <w:rsid w:val="00AF4D09"/>
    <w:rsid w:val="00AF4D61"/>
    <w:rsid w:val="00AF5447"/>
    <w:rsid w:val="00AF56A4"/>
    <w:rsid w:val="00AF5C73"/>
    <w:rsid w:val="00AF5F39"/>
    <w:rsid w:val="00AF615B"/>
    <w:rsid w:val="00AF6169"/>
    <w:rsid w:val="00AF6645"/>
    <w:rsid w:val="00AF680D"/>
    <w:rsid w:val="00AF7469"/>
    <w:rsid w:val="00AF7477"/>
    <w:rsid w:val="00AF77BB"/>
    <w:rsid w:val="00AF78EA"/>
    <w:rsid w:val="00B00058"/>
    <w:rsid w:val="00B0009D"/>
    <w:rsid w:val="00B00B45"/>
    <w:rsid w:val="00B00DAF"/>
    <w:rsid w:val="00B00E53"/>
    <w:rsid w:val="00B01132"/>
    <w:rsid w:val="00B01917"/>
    <w:rsid w:val="00B01BC2"/>
    <w:rsid w:val="00B01BE4"/>
    <w:rsid w:val="00B01DBD"/>
    <w:rsid w:val="00B026D7"/>
    <w:rsid w:val="00B0291B"/>
    <w:rsid w:val="00B03B51"/>
    <w:rsid w:val="00B0405A"/>
    <w:rsid w:val="00B04842"/>
    <w:rsid w:val="00B05145"/>
    <w:rsid w:val="00B05264"/>
    <w:rsid w:val="00B054BB"/>
    <w:rsid w:val="00B05546"/>
    <w:rsid w:val="00B060DC"/>
    <w:rsid w:val="00B0610D"/>
    <w:rsid w:val="00B061E3"/>
    <w:rsid w:val="00B06705"/>
    <w:rsid w:val="00B067A9"/>
    <w:rsid w:val="00B06AAD"/>
    <w:rsid w:val="00B06EA8"/>
    <w:rsid w:val="00B07445"/>
    <w:rsid w:val="00B07DBB"/>
    <w:rsid w:val="00B10185"/>
    <w:rsid w:val="00B1022B"/>
    <w:rsid w:val="00B10CC7"/>
    <w:rsid w:val="00B10EC8"/>
    <w:rsid w:val="00B1171E"/>
    <w:rsid w:val="00B12365"/>
    <w:rsid w:val="00B12AB6"/>
    <w:rsid w:val="00B130C1"/>
    <w:rsid w:val="00B1335E"/>
    <w:rsid w:val="00B13967"/>
    <w:rsid w:val="00B13B19"/>
    <w:rsid w:val="00B13FAD"/>
    <w:rsid w:val="00B1407D"/>
    <w:rsid w:val="00B14132"/>
    <w:rsid w:val="00B149B5"/>
    <w:rsid w:val="00B14A3D"/>
    <w:rsid w:val="00B14B79"/>
    <w:rsid w:val="00B1523F"/>
    <w:rsid w:val="00B15664"/>
    <w:rsid w:val="00B16478"/>
    <w:rsid w:val="00B16AED"/>
    <w:rsid w:val="00B16AFC"/>
    <w:rsid w:val="00B16DB4"/>
    <w:rsid w:val="00B16FF6"/>
    <w:rsid w:val="00B1751D"/>
    <w:rsid w:val="00B177CE"/>
    <w:rsid w:val="00B2007D"/>
    <w:rsid w:val="00B205D2"/>
    <w:rsid w:val="00B21171"/>
    <w:rsid w:val="00B21228"/>
    <w:rsid w:val="00B21DFF"/>
    <w:rsid w:val="00B21E53"/>
    <w:rsid w:val="00B22241"/>
    <w:rsid w:val="00B2241B"/>
    <w:rsid w:val="00B22B26"/>
    <w:rsid w:val="00B22EC1"/>
    <w:rsid w:val="00B230BB"/>
    <w:rsid w:val="00B23E92"/>
    <w:rsid w:val="00B24303"/>
    <w:rsid w:val="00B245F6"/>
    <w:rsid w:val="00B24BF5"/>
    <w:rsid w:val="00B25082"/>
    <w:rsid w:val="00B253E6"/>
    <w:rsid w:val="00B259E6"/>
    <w:rsid w:val="00B25CFD"/>
    <w:rsid w:val="00B25D28"/>
    <w:rsid w:val="00B25E82"/>
    <w:rsid w:val="00B25FDE"/>
    <w:rsid w:val="00B266A2"/>
    <w:rsid w:val="00B26FBE"/>
    <w:rsid w:val="00B26FD4"/>
    <w:rsid w:val="00B273B1"/>
    <w:rsid w:val="00B30C0C"/>
    <w:rsid w:val="00B30E6D"/>
    <w:rsid w:val="00B315CD"/>
    <w:rsid w:val="00B31CE6"/>
    <w:rsid w:val="00B320CA"/>
    <w:rsid w:val="00B323D8"/>
    <w:rsid w:val="00B32585"/>
    <w:rsid w:val="00B32A71"/>
    <w:rsid w:val="00B32ADD"/>
    <w:rsid w:val="00B32B12"/>
    <w:rsid w:val="00B32CBB"/>
    <w:rsid w:val="00B32E87"/>
    <w:rsid w:val="00B331B1"/>
    <w:rsid w:val="00B338A5"/>
    <w:rsid w:val="00B33BF8"/>
    <w:rsid w:val="00B34483"/>
    <w:rsid w:val="00B34F7C"/>
    <w:rsid w:val="00B351D6"/>
    <w:rsid w:val="00B35454"/>
    <w:rsid w:val="00B36594"/>
    <w:rsid w:val="00B373A1"/>
    <w:rsid w:val="00B3745A"/>
    <w:rsid w:val="00B3779C"/>
    <w:rsid w:val="00B37ACC"/>
    <w:rsid w:val="00B37B6C"/>
    <w:rsid w:val="00B400D0"/>
    <w:rsid w:val="00B40283"/>
    <w:rsid w:val="00B409BC"/>
    <w:rsid w:val="00B409E8"/>
    <w:rsid w:val="00B40EA0"/>
    <w:rsid w:val="00B413CF"/>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38FC"/>
    <w:rsid w:val="00B443E8"/>
    <w:rsid w:val="00B44532"/>
    <w:rsid w:val="00B44C80"/>
    <w:rsid w:val="00B44D2B"/>
    <w:rsid w:val="00B4561C"/>
    <w:rsid w:val="00B459A5"/>
    <w:rsid w:val="00B46017"/>
    <w:rsid w:val="00B46A64"/>
    <w:rsid w:val="00B46D2A"/>
    <w:rsid w:val="00B46F75"/>
    <w:rsid w:val="00B470A8"/>
    <w:rsid w:val="00B47184"/>
    <w:rsid w:val="00B47212"/>
    <w:rsid w:val="00B4746B"/>
    <w:rsid w:val="00B4751B"/>
    <w:rsid w:val="00B476E9"/>
    <w:rsid w:val="00B47715"/>
    <w:rsid w:val="00B47A8A"/>
    <w:rsid w:val="00B47AD4"/>
    <w:rsid w:val="00B47C1B"/>
    <w:rsid w:val="00B47C58"/>
    <w:rsid w:val="00B47DAE"/>
    <w:rsid w:val="00B500A8"/>
    <w:rsid w:val="00B503B0"/>
    <w:rsid w:val="00B50CED"/>
    <w:rsid w:val="00B5112D"/>
    <w:rsid w:val="00B512A3"/>
    <w:rsid w:val="00B5141A"/>
    <w:rsid w:val="00B514E1"/>
    <w:rsid w:val="00B52476"/>
    <w:rsid w:val="00B528B3"/>
    <w:rsid w:val="00B53890"/>
    <w:rsid w:val="00B53AE0"/>
    <w:rsid w:val="00B5431A"/>
    <w:rsid w:val="00B54400"/>
    <w:rsid w:val="00B54D52"/>
    <w:rsid w:val="00B54D55"/>
    <w:rsid w:val="00B55387"/>
    <w:rsid w:val="00B553D2"/>
    <w:rsid w:val="00B55553"/>
    <w:rsid w:val="00B556B6"/>
    <w:rsid w:val="00B557C4"/>
    <w:rsid w:val="00B557EE"/>
    <w:rsid w:val="00B5655A"/>
    <w:rsid w:val="00B56B0C"/>
    <w:rsid w:val="00B5717C"/>
    <w:rsid w:val="00B571DF"/>
    <w:rsid w:val="00B57355"/>
    <w:rsid w:val="00B57760"/>
    <w:rsid w:val="00B57A63"/>
    <w:rsid w:val="00B607E1"/>
    <w:rsid w:val="00B60808"/>
    <w:rsid w:val="00B6098A"/>
    <w:rsid w:val="00B60B64"/>
    <w:rsid w:val="00B60E8D"/>
    <w:rsid w:val="00B61361"/>
    <w:rsid w:val="00B61514"/>
    <w:rsid w:val="00B61A1E"/>
    <w:rsid w:val="00B61B4C"/>
    <w:rsid w:val="00B61D05"/>
    <w:rsid w:val="00B61D95"/>
    <w:rsid w:val="00B61F8C"/>
    <w:rsid w:val="00B61FE4"/>
    <w:rsid w:val="00B6267F"/>
    <w:rsid w:val="00B627B8"/>
    <w:rsid w:val="00B62D0E"/>
    <w:rsid w:val="00B62E6B"/>
    <w:rsid w:val="00B64848"/>
    <w:rsid w:val="00B64D1E"/>
    <w:rsid w:val="00B654B0"/>
    <w:rsid w:val="00B656D6"/>
    <w:rsid w:val="00B65997"/>
    <w:rsid w:val="00B65A13"/>
    <w:rsid w:val="00B65BAE"/>
    <w:rsid w:val="00B661F0"/>
    <w:rsid w:val="00B6663B"/>
    <w:rsid w:val="00B66C2C"/>
    <w:rsid w:val="00B66CAC"/>
    <w:rsid w:val="00B671A9"/>
    <w:rsid w:val="00B67309"/>
    <w:rsid w:val="00B6792E"/>
    <w:rsid w:val="00B70081"/>
    <w:rsid w:val="00B702C8"/>
    <w:rsid w:val="00B7032F"/>
    <w:rsid w:val="00B70E7F"/>
    <w:rsid w:val="00B711D5"/>
    <w:rsid w:val="00B7147F"/>
    <w:rsid w:val="00B714D9"/>
    <w:rsid w:val="00B714EA"/>
    <w:rsid w:val="00B7184B"/>
    <w:rsid w:val="00B71A75"/>
    <w:rsid w:val="00B71C38"/>
    <w:rsid w:val="00B720C6"/>
    <w:rsid w:val="00B722F4"/>
    <w:rsid w:val="00B724DC"/>
    <w:rsid w:val="00B727F9"/>
    <w:rsid w:val="00B729E7"/>
    <w:rsid w:val="00B72A6A"/>
    <w:rsid w:val="00B72F3F"/>
    <w:rsid w:val="00B73095"/>
    <w:rsid w:val="00B73365"/>
    <w:rsid w:val="00B733E5"/>
    <w:rsid w:val="00B7428D"/>
    <w:rsid w:val="00B7442D"/>
    <w:rsid w:val="00B7470D"/>
    <w:rsid w:val="00B7499C"/>
    <w:rsid w:val="00B74A97"/>
    <w:rsid w:val="00B74B02"/>
    <w:rsid w:val="00B74CE1"/>
    <w:rsid w:val="00B754F4"/>
    <w:rsid w:val="00B7558C"/>
    <w:rsid w:val="00B7583E"/>
    <w:rsid w:val="00B7590C"/>
    <w:rsid w:val="00B75A7C"/>
    <w:rsid w:val="00B75EC8"/>
    <w:rsid w:val="00B76F47"/>
    <w:rsid w:val="00B772D2"/>
    <w:rsid w:val="00B77CFC"/>
    <w:rsid w:val="00B77ED7"/>
    <w:rsid w:val="00B77F58"/>
    <w:rsid w:val="00B80167"/>
    <w:rsid w:val="00B80E64"/>
    <w:rsid w:val="00B80EDD"/>
    <w:rsid w:val="00B80F70"/>
    <w:rsid w:val="00B80FEB"/>
    <w:rsid w:val="00B8108C"/>
    <w:rsid w:val="00B8160A"/>
    <w:rsid w:val="00B817CC"/>
    <w:rsid w:val="00B819EE"/>
    <w:rsid w:val="00B81BD9"/>
    <w:rsid w:val="00B81CCD"/>
    <w:rsid w:val="00B81D03"/>
    <w:rsid w:val="00B81FF5"/>
    <w:rsid w:val="00B8243A"/>
    <w:rsid w:val="00B8289C"/>
    <w:rsid w:val="00B82BFB"/>
    <w:rsid w:val="00B82E0C"/>
    <w:rsid w:val="00B82E87"/>
    <w:rsid w:val="00B83723"/>
    <w:rsid w:val="00B839E6"/>
    <w:rsid w:val="00B83E66"/>
    <w:rsid w:val="00B84A1F"/>
    <w:rsid w:val="00B84B89"/>
    <w:rsid w:val="00B84C69"/>
    <w:rsid w:val="00B84EE4"/>
    <w:rsid w:val="00B853F6"/>
    <w:rsid w:val="00B85547"/>
    <w:rsid w:val="00B8597F"/>
    <w:rsid w:val="00B85FB8"/>
    <w:rsid w:val="00B86559"/>
    <w:rsid w:val="00B8680E"/>
    <w:rsid w:val="00B8685C"/>
    <w:rsid w:val="00B86AD9"/>
    <w:rsid w:val="00B86E33"/>
    <w:rsid w:val="00B86EC5"/>
    <w:rsid w:val="00B8720A"/>
    <w:rsid w:val="00B87C4C"/>
    <w:rsid w:val="00B87CC0"/>
    <w:rsid w:val="00B9037F"/>
    <w:rsid w:val="00B90431"/>
    <w:rsid w:val="00B907E8"/>
    <w:rsid w:val="00B90A83"/>
    <w:rsid w:val="00B90D7C"/>
    <w:rsid w:val="00B912E2"/>
    <w:rsid w:val="00B9137A"/>
    <w:rsid w:val="00B9166A"/>
    <w:rsid w:val="00B9169F"/>
    <w:rsid w:val="00B91706"/>
    <w:rsid w:val="00B91BDF"/>
    <w:rsid w:val="00B91DA5"/>
    <w:rsid w:val="00B924D0"/>
    <w:rsid w:val="00B926FA"/>
    <w:rsid w:val="00B93390"/>
    <w:rsid w:val="00B943AB"/>
    <w:rsid w:val="00B945EC"/>
    <w:rsid w:val="00B949F7"/>
    <w:rsid w:val="00B94A36"/>
    <w:rsid w:val="00B94C77"/>
    <w:rsid w:val="00B94D8D"/>
    <w:rsid w:val="00B94E2E"/>
    <w:rsid w:val="00B94F28"/>
    <w:rsid w:val="00B94F9B"/>
    <w:rsid w:val="00B9517A"/>
    <w:rsid w:val="00B953AF"/>
    <w:rsid w:val="00B95E16"/>
    <w:rsid w:val="00B96121"/>
    <w:rsid w:val="00B96552"/>
    <w:rsid w:val="00B96AAF"/>
    <w:rsid w:val="00B96D01"/>
    <w:rsid w:val="00B96FA2"/>
    <w:rsid w:val="00B9735E"/>
    <w:rsid w:val="00B97601"/>
    <w:rsid w:val="00B978B2"/>
    <w:rsid w:val="00B97FE9"/>
    <w:rsid w:val="00BA06A4"/>
    <w:rsid w:val="00BA0FE4"/>
    <w:rsid w:val="00BA1710"/>
    <w:rsid w:val="00BA1E60"/>
    <w:rsid w:val="00BA2083"/>
    <w:rsid w:val="00BA22FC"/>
    <w:rsid w:val="00BA262F"/>
    <w:rsid w:val="00BA279B"/>
    <w:rsid w:val="00BA2BA0"/>
    <w:rsid w:val="00BA2F14"/>
    <w:rsid w:val="00BA2F76"/>
    <w:rsid w:val="00BA3146"/>
    <w:rsid w:val="00BA3323"/>
    <w:rsid w:val="00BA4008"/>
    <w:rsid w:val="00BA4830"/>
    <w:rsid w:val="00BA4ED0"/>
    <w:rsid w:val="00BA51FE"/>
    <w:rsid w:val="00BA583F"/>
    <w:rsid w:val="00BA5AEE"/>
    <w:rsid w:val="00BA5AFB"/>
    <w:rsid w:val="00BA5BC9"/>
    <w:rsid w:val="00BA5CC0"/>
    <w:rsid w:val="00BA5E6F"/>
    <w:rsid w:val="00BA5FC0"/>
    <w:rsid w:val="00BA6B79"/>
    <w:rsid w:val="00BA6E0D"/>
    <w:rsid w:val="00BA7507"/>
    <w:rsid w:val="00BA78F7"/>
    <w:rsid w:val="00BA7F9E"/>
    <w:rsid w:val="00BB0218"/>
    <w:rsid w:val="00BB0579"/>
    <w:rsid w:val="00BB09DA"/>
    <w:rsid w:val="00BB0A0E"/>
    <w:rsid w:val="00BB0A1E"/>
    <w:rsid w:val="00BB0A90"/>
    <w:rsid w:val="00BB0CB9"/>
    <w:rsid w:val="00BB0F77"/>
    <w:rsid w:val="00BB12B2"/>
    <w:rsid w:val="00BB1597"/>
    <w:rsid w:val="00BB1666"/>
    <w:rsid w:val="00BB1692"/>
    <w:rsid w:val="00BB18BE"/>
    <w:rsid w:val="00BB1981"/>
    <w:rsid w:val="00BB1B13"/>
    <w:rsid w:val="00BB1D0E"/>
    <w:rsid w:val="00BB1D6B"/>
    <w:rsid w:val="00BB2602"/>
    <w:rsid w:val="00BB2733"/>
    <w:rsid w:val="00BB2D40"/>
    <w:rsid w:val="00BB2F47"/>
    <w:rsid w:val="00BB2F85"/>
    <w:rsid w:val="00BB30EE"/>
    <w:rsid w:val="00BB3473"/>
    <w:rsid w:val="00BB3E06"/>
    <w:rsid w:val="00BB4819"/>
    <w:rsid w:val="00BB50DB"/>
    <w:rsid w:val="00BB5A76"/>
    <w:rsid w:val="00BB5B8E"/>
    <w:rsid w:val="00BB5FDB"/>
    <w:rsid w:val="00BB64C4"/>
    <w:rsid w:val="00BB662E"/>
    <w:rsid w:val="00BB6AE7"/>
    <w:rsid w:val="00BC01BA"/>
    <w:rsid w:val="00BC0931"/>
    <w:rsid w:val="00BC0C4B"/>
    <w:rsid w:val="00BC0CC0"/>
    <w:rsid w:val="00BC0DBE"/>
    <w:rsid w:val="00BC10B7"/>
    <w:rsid w:val="00BC1942"/>
    <w:rsid w:val="00BC1B38"/>
    <w:rsid w:val="00BC2543"/>
    <w:rsid w:val="00BC2588"/>
    <w:rsid w:val="00BC27A8"/>
    <w:rsid w:val="00BC2DEF"/>
    <w:rsid w:val="00BC2E23"/>
    <w:rsid w:val="00BC2E6E"/>
    <w:rsid w:val="00BC2FB3"/>
    <w:rsid w:val="00BC3329"/>
    <w:rsid w:val="00BC33FD"/>
    <w:rsid w:val="00BC36EB"/>
    <w:rsid w:val="00BC3847"/>
    <w:rsid w:val="00BC38F6"/>
    <w:rsid w:val="00BC391C"/>
    <w:rsid w:val="00BC3CE5"/>
    <w:rsid w:val="00BC5818"/>
    <w:rsid w:val="00BC5A0A"/>
    <w:rsid w:val="00BC5C1E"/>
    <w:rsid w:val="00BC6142"/>
    <w:rsid w:val="00BC6A1D"/>
    <w:rsid w:val="00BC6A32"/>
    <w:rsid w:val="00BC6AFE"/>
    <w:rsid w:val="00BC7553"/>
    <w:rsid w:val="00BC7B4A"/>
    <w:rsid w:val="00BC7D92"/>
    <w:rsid w:val="00BD0026"/>
    <w:rsid w:val="00BD0A4A"/>
    <w:rsid w:val="00BD0A65"/>
    <w:rsid w:val="00BD1A6A"/>
    <w:rsid w:val="00BD1ACF"/>
    <w:rsid w:val="00BD22D7"/>
    <w:rsid w:val="00BD25D9"/>
    <w:rsid w:val="00BD2668"/>
    <w:rsid w:val="00BD3406"/>
    <w:rsid w:val="00BD38EA"/>
    <w:rsid w:val="00BD3EB3"/>
    <w:rsid w:val="00BD4117"/>
    <w:rsid w:val="00BD4592"/>
    <w:rsid w:val="00BD47D7"/>
    <w:rsid w:val="00BD48DA"/>
    <w:rsid w:val="00BD498E"/>
    <w:rsid w:val="00BD4B1F"/>
    <w:rsid w:val="00BD4DC1"/>
    <w:rsid w:val="00BD506D"/>
    <w:rsid w:val="00BD5178"/>
    <w:rsid w:val="00BD547E"/>
    <w:rsid w:val="00BD5626"/>
    <w:rsid w:val="00BD56F7"/>
    <w:rsid w:val="00BD6312"/>
    <w:rsid w:val="00BD63BE"/>
    <w:rsid w:val="00BD6675"/>
    <w:rsid w:val="00BD678D"/>
    <w:rsid w:val="00BD6808"/>
    <w:rsid w:val="00BD7869"/>
    <w:rsid w:val="00BD7CA6"/>
    <w:rsid w:val="00BD7F9B"/>
    <w:rsid w:val="00BE0067"/>
    <w:rsid w:val="00BE0430"/>
    <w:rsid w:val="00BE088D"/>
    <w:rsid w:val="00BE0C7C"/>
    <w:rsid w:val="00BE0DFE"/>
    <w:rsid w:val="00BE0F24"/>
    <w:rsid w:val="00BE0FAE"/>
    <w:rsid w:val="00BE165F"/>
    <w:rsid w:val="00BE17F3"/>
    <w:rsid w:val="00BE2588"/>
    <w:rsid w:val="00BE261A"/>
    <w:rsid w:val="00BE26F8"/>
    <w:rsid w:val="00BE2E05"/>
    <w:rsid w:val="00BE2E69"/>
    <w:rsid w:val="00BE2EF1"/>
    <w:rsid w:val="00BE343C"/>
    <w:rsid w:val="00BE3513"/>
    <w:rsid w:val="00BE355B"/>
    <w:rsid w:val="00BE371A"/>
    <w:rsid w:val="00BE3E81"/>
    <w:rsid w:val="00BE3EEE"/>
    <w:rsid w:val="00BE4649"/>
    <w:rsid w:val="00BE51BA"/>
    <w:rsid w:val="00BE5397"/>
    <w:rsid w:val="00BE564F"/>
    <w:rsid w:val="00BE5714"/>
    <w:rsid w:val="00BE5FAD"/>
    <w:rsid w:val="00BE6B9B"/>
    <w:rsid w:val="00BE7BAA"/>
    <w:rsid w:val="00BE7FB7"/>
    <w:rsid w:val="00BF009B"/>
    <w:rsid w:val="00BF0536"/>
    <w:rsid w:val="00BF0636"/>
    <w:rsid w:val="00BF0B88"/>
    <w:rsid w:val="00BF0CFF"/>
    <w:rsid w:val="00BF0FA2"/>
    <w:rsid w:val="00BF109F"/>
    <w:rsid w:val="00BF1295"/>
    <w:rsid w:val="00BF21E1"/>
    <w:rsid w:val="00BF27CC"/>
    <w:rsid w:val="00BF2A23"/>
    <w:rsid w:val="00BF2DB4"/>
    <w:rsid w:val="00BF3519"/>
    <w:rsid w:val="00BF355D"/>
    <w:rsid w:val="00BF3623"/>
    <w:rsid w:val="00BF38AE"/>
    <w:rsid w:val="00BF3E9C"/>
    <w:rsid w:val="00BF4722"/>
    <w:rsid w:val="00BF4B30"/>
    <w:rsid w:val="00BF4F7D"/>
    <w:rsid w:val="00BF507F"/>
    <w:rsid w:val="00BF5197"/>
    <w:rsid w:val="00BF533C"/>
    <w:rsid w:val="00BF53B3"/>
    <w:rsid w:val="00BF541B"/>
    <w:rsid w:val="00BF547C"/>
    <w:rsid w:val="00BF5D32"/>
    <w:rsid w:val="00BF60BB"/>
    <w:rsid w:val="00BF6E0C"/>
    <w:rsid w:val="00BF6F2D"/>
    <w:rsid w:val="00BF6F3A"/>
    <w:rsid w:val="00BF7444"/>
    <w:rsid w:val="00BF7684"/>
    <w:rsid w:val="00BF7A8D"/>
    <w:rsid w:val="00BF7B0F"/>
    <w:rsid w:val="00C01233"/>
    <w:rsid w:val="00C01757"/>
    <w:rsid w:val="00C01BA8"/>
    <w:rsid w:val="00C01DD2"/>
    <w:rsid w:val="00C01F49"/>
    <w:rsid w:val="00C01F8E"/>
    <w:rsid w:val="00C0248C"/>
    <w:rsid w:val="00C02D38"/>
    <w:rsid w:val="00C032EF"/>
    <w:rsid w:val="00C03489"/>
    <w:rsid w:val="00C03751"/>
    <w:rsid w:val="00C0399C"/>
    <w:rsid w:val="00C03F26"/>
    <w:rsid w:val="00C0430A"/>
    <w:rsid w:val="00C049B1"/>
    <w:rsid w:val="00C04A35"/>
    <w:rsid w:val="00C04AF1"/>
    <w:rsid w:val="00C04E49"/>
    <w:rsid w:val="00C0546D"/>
    <w:rsid w:val="00C058F9"/>
    <w:rsid w:val="00C05974"/>
    <w:rsid w:val="00C05DEF"/>
    <w:rsid w:val="00C06366"/>
    <w:rsid w:val="00C06A71"/>
    <w:rsid w:val="00C06E55"/>
    <w:rsid w:val="00C073D2"/>
    <w:rsid w:val="00C075DA"/>
    <w:rsid w:val="00C07ABA"/>
    <w:rsid w:val="00C07C31"/>
    <w:rsid w:val="00C07FBE"/>
    <w:rsid w:val="00C07FF2"/>
    <w:rsid w:val="00C10142"/>
    <w:rsid w:val="00C1064D"/>
    <w:rsid w:val="00C10A01"/>
    <w:rsid w:val="00C10CF9"/>
    <w:rsid w:val="00C1164B"/>
    <w:rsid w:val="00C116F2"/>
    <w:rsid w:val="00C11DE6"/>
    <w:rsid w:val="00C12975"/>
    <w:rsid w:val="00C12F7A"/>
    <w:rsid w:val="00C13033"/>
    <w:rsid w:val="00C13134"/>
    <w:rsid w:val="00C1335E"/>
    <w:rsid w:val="00C133B9"/>
    <w:rsid w:val="00C13559"/>
    <w:rsid w:val="00C13977"/>
    <w:rsid w:val="00C141D6"/>
    <w:rsid w:val="00C14684"/>
    <w:rsid w:val="00C146D8"/>
    <w:rsid w:val="00C14D25"/>
    <w:rsid w:val="00C14ED8"/>
    <w:rsid w:val="00C152D4"/>
    <w:rsid w:val="00C157D8"/>
    <w:rsid w:val="00C15A86"/>
    <w:rsid w:val="00C15E30"/>
    <w:rsid w:val="00C15E9B"/>
    <w:rsid w:val="00C16424"/>
    <w:rsid w:val="00C167BE"/>
    <w:rsid w:val="00C16AA6"/>
    <w:rsid w:val="00C179AC"/>
    <w:rsid w:val="00C17E94"/>
    <w:rsid w:val="00C207BD"/>
    <w:rsid w:val="00C20A03"/>
    <w:rsid w:val="00C20CFB"/>
    <w:rsid w:val="00C212BA"/>
    <w:rsid w:val="00C216BE"/>
    <w:rsid w:val="00C21F3A"/>
    <w:rsid w:val="00C22098"/>
    <w:rsid w:val="00C2234E"/>
    <w:rsid w:val="00C2295D"/>
    <w:rsid w:val="00C22B8F"/>
    <w:rsid w:val="00C22BCE"/>
    <w:rsid w:val="00C232AA"/>
    <w:rsid w:val="00C2368D"/>
    <w:rsid w:val="00C23C73"/>
    <w:rsid w:val="00C248E8"/>
    <w:rsid w:val="00C24FC0"/>
    <w:rsid w:val="00C25136"/>
    <w:rsid w:val="00C25599"/>
    <w:rsid w:val="00C25882"/>
    <w:rsid w:val="00C25E28"/>
    <w:rsid w:val="00C25EAF"/>
    <w:rsid w:val="00C26067"/>
    <w:rsid w:val="00C26103"/>
    <w:rsid w:val="00C26232"/>
    <w:rsid w:val="00C26805"/>
    <w:rsid w:val="00C26BF0"/>
    <w:rsid w:val="00C26EC9"/>
    <w:rsid w:val="00C271A4"/>
    <w:rsid w:val="00C2741E"/>
    <w:rsid w:val="00C27543"/>
    <w:rsid w:val="00C27802"/>
    <w:rsid w:val="00C2789F"/>
    <w:rsid w:val="00C303F2"/>
    <w:rsid w:val="00C30549"/>
    <w:rsid w:val="00C30983"/>
    <w:rsid w:val="00C31076"/>
    <w:rsid w:val="00C317EC"/>
    <w:rsid w:val="00C318A6"/>
    <w:rsid w:val="00C31971"/>
    <w:rsid w:val="00C31E71"/>
    <w:rsid w:val="00C32244"/>
    <w:rsid w:val="00C32971"/>
    <w:rsid w:val="00C32ED7"/>
    <w:rsid w:val="00C32EDB"/>
    <w:rsid w:val="00C32F03"/>
    <w:rsid w:val="00C32FF4"/>
    <w:rsid w:val="00C3312D"/>
    <w:rsid w:val="00C33392"/>
    <w:rsid w:val="00C33B71"/>
    <w:rsid w:val="00C341C0"/>
    <w:rsid w:val="00C345DD"/>
    <w:rsid w:val="00C34DD0"/>
    <w:rsid w:val="00C35253"/>
    <w:rsid w:val="00C357A7"/>
    <w:rsid w:val="00C357E8"/>
    <w:rsid w:val="00C35F0C"/>
    <w:rsid w:val="00C3607F"/>
    <w:rsid w:val="00C36128"/>
    <w:rsid w:val="00C369BA"/>
    <w:rsid w:val="00C36A14"/>
    <w:rsid w:val="00C36A68"/>
    <w:rsid w:val="00C370F7"/>
    <w:rsid w:val="00C376E0"/>
    <w:rsid w:val="00C3796C"/>
    <w:rsid w:val="00C37C97"/>
    <w:rsid w:val="00C37FD2"/>
    <w:rsid w:val="00C37FF1"/>
    <w:rsid w:val="00C40133"/>
    <w:rsid w:val="00C401AB"/>
    <w:rsid w:val="00C40222"/>
    <w:rsid w:val="00C4083B"/>
    <w:rsid w:val="00C408B0"/>
    <w:rsid w:val="00C40D5F"/>
    <w:rsid w:val="00C41068"/>
    <w:rsid w:val="00C4201A"/>
    <w:rsid w:val="00C4225F"/>
    <w:rsid w:val="00C42404"/>
    <w:rsid w:val="00C42573"/>
    <w:rsid w:val="00C42843"/>
    <w:rsid w:val="00C42F90"/>
    <w:rsid w:val="00C43635"/>
    <w:rsid w:val="00C4383A"/>
    <w:rsid w:val="00C43C44"/>
    <w:rsid w:val="00C4440D"/>
    <w:rsid w:val="00C44421"/>
    <w:rsid w:val="00C4456B"/>
    <w:rsid w:val="00C447E3"/>
    <w:rsid w:val="00C44BD3"/>
    <w:rsid w:val="00C44E19"/>
    <w:rsid w:val="00C45A6F"/>
    <w:rsid w:val="00C464BA"/>
    <w:rsid w:val="00C4661C"/>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D34"/>
    <w:rsid w:val="00C51012"/>
    <w:rsid w:val="00C5149F"/>
    <w:rsid w:val="00C527E1"/>
    <w:rsid w:val="00C529EA"/>
    <w:rsid w:val="00C52C13"/>
    <w:rsid w:val="00C52DDC"/>
    <w:rsid w:val="00C535F8"/>
    <w:rsid w:val="00C539AD"/>
    <w:rsid w:val="00C53AFF"/>
    <w:rsid w:val="00C53BBF"/>
    <w:rsid w:val="00C53BF6"/>
    <w:rsid w:val="00C53D38"/>
    <w:rsid w:val="00C53D5C"/>
    <w:rsid w:val="00C54495"/>
    <w:rsid w:val="00C544D4"/>
    <w:rsid w:val="00C54C42"/>
    <w:rsid w:val="00C54E73"/>
    <w:rsid w:val="00C54FBF"/>
    <w:rsid w:val="00C55735"/>
    <w:rsid w:val="00C557B6"/>
    <w:rsid w:val="00C55F86"/>
    <w:rsid w:val="00C5601D"/>
    <w:rsid w:val="00C5626B"/>
    <w:rsid w:val="00C56346"/>
    <w:rsid w:val="00C56908"/>
    <w:rsid w:val="00C56DF0"/>
    <w:rsid w:val="00C5752C"/>
    <w:rsid w:val="00C57794"/>
    <w:rsid w:val="00C57C34"/>
    <w:rsid w:val="00C602DF"/>
    <w:rsid w:val="00C603AE"/>
    <w:rsid w:val="00C60D1F"/>
    <w:rsid w:val="00C6113D"/>
    <w:rsid w:val="00C614FF"/>
    <w:rsid w:val="00C616DA"/>
    <w:rsid w:val="00C616F3"/>
    <w:rsid w:val="00C618A8"/>
    <w:rsid w:val="00C61B36"/>
    <w:rsid w:val="00C61C28"/>
    <w:rsid w:val="00C6231A"/>
    <w:rsid w:val="00C6265C"/>
    <w:rsid w:val="00C62BBD"/>
    <w:rsid w:val="00C62C37"/>
    <w:rsid w:val="00C62F63"/>
    <w:rsid w:val="00C6302C"/>
    <w:rsid w:val="00C633BD"/>
    <w:rsid w:val="00C63899"/>
    <w:rsid w:val="00C63EE3"/>
    <w:rsid w:val="00C641A9"/>
    <w:rsid w:val="00C644CF"/>
    <w:rsid w:val="00C64919"/>
    <w:rsid w:val="00C6513D"/>
    <w:rsid w:val="00C6583B"/>
    <w:rsid w:val="00C65A99"/>
    <w:rsid w:val="00C65E00"/>
    <w:rsid w:val="00C65E5E"/>
    <w:rsid w:val="00C661EB"/>
    <w:rsid w:val="00C66273"/>
    <w:rsid w:val="00C66582"/>
    <w:rsid w:val="00C6683F"/>
    <w:rsid w:val="00C6700D"/>
    <w:rsid w:val="00C67388"/>
    <w:rsid w:val="00C67580"/>
    <w:rsid w:val="00C67952"/>
    <w:rsid w:val="00C67CFA"/>
    <w:rsid w:val="00C67DF7"/>
    <w:rsid w:val="00C7052B"/>
    <w:rsid w:val="00C707A5"/>
    <w:rsid w:val="00C709B0"/>
    <w:rsid w:val="00C70B58"/>
    <w:rsid w:val="00C70D30"/>
    <w:rsid w:val="00C71124"/>
    <w:rsid w:val="00C71226"/>
    <w:rsid w:val="00C71997"/>
    <w:rsid w:val="00C719CF"/>
    <w:rsid w:val="00C71E68"/>
    <w:rsid w:val="00C71F9F"/>
    <w:rsid w:val="00C72194"/>
    <w:rsid w:val="00C72573"/>
    <w:rsid w:val="00C72BD1"/>
    <w:rsid w:val="00C72C66"/>
    <w:rsid w:val="00C72C98"/>
    <w:rsid w:val="00C73849"/>
    <w:rsid w:val="00C73B0D"/>
    <w:rsid w:val="00C73C19"/>
    <w:rsid w:val="00C744AE"/>
    <w:rsid w:val="00C74740"/>
    <w:rsid w:val="00C750D9"/>
    <w:rsid w:val="00C7525B"/>
    <w:rsid w:val="00C76480"/>
    <w:rsid w:val="00C779FF"/>
    <w:rsid w:val="00C77F17"/>
    <w:rsid w:val="00C77F3A"/>
    <w:rsid w:val="00C809BF"/>
    <w:rsid w:val="00C80D2E"/>
    <w:rsid w:val="00C80F9D"/>
    <w:rsid w:val="00C817BA"/>
    <w:rsid w:val="00C82172"/>
    <w:rsid w:val="00C82212"/>
    <w:rsid w:val="00C826BC"/>
    <w:rsid w:val="00C82870"/>
    <w:rsid w:val="00C82CFB"/>
    <w:rsid w:val="00C82DC9"/>
    <w:rsid w:val="00C839AC"/>
    <w:rsid w:val="00C83FBB"/>
    <w:rsid w:val="00C8433C"/>
    <w:rsid w:val="00C84711"/>
    <w:rsid w:val="00C84A24"/>
    <w:rsid w:val="00C84F07"/>
    <w:rsid w:val="00C84F5B"/>
    <w:rsid w:val="00C86379"/>
    <w:rsid w:val="00C8662F"/>
    <w:rsid w:val="00C866E6"/>
    <w:rsid w:val="00C86EB9"/>
    <w:rsid w:val="00C870A4"/>
    <w:rsid w:val="00C879BD"/>
    <w:rsid w:val="00C87F32"/>
    <w:rsid w:val="00C90053"/>
    <w:rsid w:val="00C9084C"/>
    <w:rsid w:val="00C91170"/>
    <w:rsid w:val="00C9129C"/>
    <w:rsid w:val="00C917D4"/>
    <w:rsid w:val="00C91CBA"/>
    <w:rsid w:val="00C91DCD"/>
    <w:rsid w:val="00C92007"/>
    <w:rsid w:val="00C92077"/>
    <w:rsid w:val="00C9211A"/>
    <w:rsid w:val="00C925FC"/>
    <w:rsid w:val="00C92607"/>
    <w:rsid w:val="00C92D87"/>
    <w:rsid w:val="00C93326"/>
    <w:rsid w:val="00C9352C"/>
    <w:rsid w:val="00C93717"/>
    <w:rsid w:val="00C93BF6"/>
    <w:rsid w:val="00C93CCC"/>
    <w:rsid w:val="00C93D2B"/>
    <w:rsid w:val="00C9434E"/>
    <w:rsid w:val="00C94B5E"/>
    <w:rsid w:val="00C95003"/>
    <w:rsid w:val="00C9507D"/>
    <w:rsid w:val="00C95299"/>
    <w:rsid w:val="00C95784"/>
    <w:rsid w:val="00C95ACC"/>
    <w:rsid w:val="00C95EA9"/>
    <w:rsid w:val="00C961B7"/>
    <w:rsid w:val="00C962CB"/>
    <w:rsid w:val="00C964AD"/>
    <w:rsid w:val="00C965D6"/>
    <w:rsid w:val="00C96E14"/>
    <w:rsid w:val="00C970DF"/>
    <w:rsid w:val="00C97317"/>
    <w:rsid w:val="00C9740E"/>
    <w:rsid w:val="00C97788"/>
    <w:rsid w:val="00C97875"/>
    <w:rsid w:val="00C97A7B"/>
    <w:rsid w:val="00C97C21"/>
    <w:rsid w:val="00CA046F"/>
    <w:rsid w:val="00CA05E0"/>
    <w:rsid w:val="00CA0C12"/>
    <w:rsid w:val="00CA0CA7"/>
    <w:rsid w:val="00CA1035"/>
    <w:rsid w:val="00CA1201"/>
    <w:rsid w:val="00CA139D"/>
    <w:rsid w:val="00CA18C9"/>
    <w:rsid w:val="00CA1A0F"/>
    <w:rsid w:val="00CA2F5A"/>
    <w:rsid w:val="00CA3389"/>
    <w:rsid w:val="00CA3852"/>
    <w:rsid w:val="00CA3D04"/>
    <w:rsid w:val="00CA3F11"/>
    <w:rsid w:val="00CA3F7D"/>
    <w:rsid w:val="00CA40AC"/>
    <w:rsid w:val="00CA4208"/>
    <w:rsid w:val="00CA4216"/>
    <w:rsid w:val="00CA4621"/>
    <w:rsid w:val="00CA480B"/>
    <w:rsid w:val="00CA487E"/>
    <w:rsid w:val="00CA48F7"/>
    <w:rsid w:val="00CA4BA2"/>
    <w:rsid w:val="00CA4C12"/>
    <w:rsid w:val="00CA4EF7"/>
    <w:rsid w:val="00CA55BD"/>
    <w:rsid w:val="00CA576A"/>
    <w:rsid w:val="00CA57DC"/>
    <w:rsid w:val="00CA5819"/>
    <w:rsid w:val="00CA590E"/>
    <w:rsid w:val="00CA592B"/>
    <w:rsid w:val="00CA5A7C"/>
    <w:rsid w:val="00CA5BA5"/>
    <w:rsid w:val="00CA5D1B"/>
    <w:rsid w:val="00CA5DF3"/>
    <w:rsid w:val="00CA639B"/>
    <w:rsid w:val="00CA6639"/>
    <w:rsid w:val="00CA673F"/>
    <w:rsid w:val="00CA6AC9"/>
    <w:rsid w:val="00CA7240"/>
    <w:rsid w:val="00CA7411"/>
    <w:rsid w:val="00CA74AA"/>
    <w:rsid w:val="00CA74B5"/>
    <w:rsid w:val="00CA74EC"/>
    <w:rsid w:val="00CA7644"/>
    <w:rsid w:val="00CA79DD"/>
    <w:rsid w:val="00CA7A1D"/>
    <w:rsid w:val="00CA7F72"/>
    <w:rsid w:val="00CB0234"/>
    <w:rsid w:val="00CB0385"/>
    <w:rsid w:val="00CB05C6"/>
    <w:rsid w:val="00CB0790"/>
    <w:rsid w:val="00CB0826"/>
    <w:rsid w:val="00CB0841"/>
    <w:rsid w:val="00CB10D0"/>
    <w:rsid w:val="00CB1190"/>
    <w:rsid w:val="00CB15FB"/>
    <w:rsid w:val="00CB1C81"/>
    <w:rsid w:val="00CB207A"/>
    <w:rsid w:val="00CB20F4"/>
    <w:rsid w:val="00CB2441"/>
    <w:rsid w:val="00CB2809"/>
    <w:rsid w:val="00CB2F70"/>
    <w:rsid w:val="00CB37BC"/>
    <w:rsid w:val="00CB3AA7"/>
    <w:rsid w:val="00CB40ED"/>
    <w:rsid w:val="00CB4A4B"/>
    <w:rsid w:val="00CB518E"/>
    <w:rsid w:val="00CB542F"/>
    <w:rsid w:val="00CB5543"/>
    <w:rsid w:val="00CB5C13"/>
    <w:rsid w:val="00CB625A"/>
    <w:rsid w:val="00CB6A50"/>
    <w:rsid w:val="00CB70D0"/>
    <w:rsid w:val="00CB76B5"/>
    <w:rsid w:val="00CB7711"/>
    <w:rsid w:val="00CC0041"/>
    <w:rsid w:val="00CC00CA"/>
    <w:rsid w:val="00CC0216"/>
    <w:rsid w:val="00CC0841"/>
    <w:rsid w:val="00CC17CC"/>
    <w:rsid w:val="00CC1E09"/>
    <w:rsid w:val="00CC2483"/>
    <w:rsid w:val="00CC2AB4"/>
    <w:rsid w:val="00CC2E08"/>
    <w:rsid w:val="00CC2F19"/>
    <w:rsid w:val="00CC3030"/>
    <w:rsid w:val="00CC307E"/>
    <w:rsid w:val="00CC336E"/>
    <w:rsid w:val="00CC34F5"/>
    <w:rsid w:val="00CC3503"/>
    <w:rsid w:val="00CC3529"/>
    <w:rsid w:val="00CC37B2"/>
    <w:rsid w:val="00CC3D3A"/>
    <w:rsid w:val="00CC3F4E"/>
    <w:rsid w:val="00CC4385"/>
    <w:rsid w:val="00CC44F0"/>
    <w:rsid w:val="00CC4D2E"/>
    <w:rsid w:val="00CC58BE"/>
    <w:rsid w:val="00CC58F1"/>
    <w:rsid w:val="00CC5906"/>
    <w:rsid w:val="00CC656A"/>
    <w:rsid w:val="00CC6A72"/>
    <w:rsid w:val="00CC752B"/>
    <w:rsid w:val="00CC7997"/>
    <w:rsid w:val="00CD0058"/>
    <w:rsid w:val="00CD017A"/>
    <w:rsid w:val="00CD0247"/>
    <w:rsid w:val="00CD0365"/>
    <w:rsid w:val="00CD04B7"/>
    <w:rsid w:val="00CD07BE"/>
    <w:rsid w:val="00CD07CB"/>
    <w:rsid w:val="00CD1692"/>
    <w:rsid w:val="00CD1D57"/>
    <w:rsid w:val="00CD1F22"/>
    <w:rsid w:val="00CD2642"/>
    <w:rsid w:val="00CD2976"/>
    <w:rsid w:val="00CD29F2"/>
    <w:rsid w:val="00CD2AF4"/>
    <w:rsid w:val="00CD2E17"/>
    <w:rsid w:val="00CD316D"/>
    <w:rsid w:val="00CD3FB8"/>
    <w:rsid w:val="00CD4009"/>
    <w:rsid w:val="00CD47A9"/>
    <w:rsid w:val="00CD4843"/>
    <w:rsid w:val="00CD4951"/>
    <w:rsid w:val="00CD4ABC"/>
    <w:rsid w:val="00CD4E87"/>
    <w:rsid w:val="00CD5CC6"/>
    <w:rsid w:val="00CD5D1F"/>
    <w:rsid w:val="00CD5E24"/>
    <w:rsid w:val="00CD5F4D"/>
    <w:rsid w:val="00CD64AD"/>
    <w:rsid w:val="00CD67BA"/>
    <w:rsid w:val="00CD682A"/>
    <w:rsid w:val="00CD6E6D"/>
    <w:rsid w:val="00CD7198"/>
    <w:rsid w:val="00CD757B"/>
    <w:rsid w:val="00CD757D"/>
    <w:rsid w:val="00CD79A7"/>
    <w:rsid w:val="00CD7E4C"/>
    <w:rsid w:val="00CD7FF2"/>
    <w:rsid w:val="00CE0063"/>
    <w:rsid w:val="00CE0244"/>
    <w:rsid w:val="00CE026C"/>
    <w:rsid w:val="00CE044D"/>
    <w:rsid w:val="00CE063D"/>
    <w:rsid w:val="00CE0782"/>
    <w:rsid w:val="00CE0A63"/>
    <w:rsid w:val="00CE0FC2"/>
    <w:rsid w:val="00CE1342"/>
    <w:rsid w:val="00CE1353"/>
    <w:rsid w:val="00CE194E"/>
    <w:rsid w:val="00CE1CA1"/>
    <w:rsid w:val="00CE22A7"/>
    <w:rsid w:val="00CE26BE"/>
    <w:rsid w:val="00CE2842"/>
    <w:rsid w:val="00CE2BAE"/>
    <w:rsid w:val="00CE2E31"/>
    <w:rsid w:val="00CE3A50"/>
    <w:rsid w:val="00CE3C4B"/>
    <w:rsid w:val="00CE3EE4"/>
    <w:rsid w:val="00CE41FF"/>
    <w:rsid w:val="00CE4AD8"/>
    <w:rsid w:val="00CE5288"/>
    <w:rsid w:val="00CE5519"/>
    <w:rsid w:val="00CE650D"/>
    <w:rsid w:val="00CE6589"/>
    <w:rsid w:val="00CE66E8"/>
    <w:rsid w:val="00CE6B27"/>
    <w:rsid w:val="00CE7307"/>
    <w:rsid w:val="00CE7C6C"/>
    <w:rsid w:val="00CE7D85"/>
    <w:rsid w:val="00CE7FA0"/>
    <w:rsid w:val="00CF0282"/>
    <w:rsid w:val="00CF0382"/>
    <w:rsid w:val="00CF0658"/>
    <w:rsid w:val="00CF09EC"/>
    <w:rsid w:val="00CF0CAC"/>
    <w:rsid w:val="00CF12DE"/>
    <w:rsid w:val="00CF1665"/>
    <w:rsid w:val="00CF1AF4"/>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4D8E"/>
    <w:rsid w:val="00CF5049"/>
    <w:rsid w:val="00CF5130"/>
    <w:rsid w:val="00CF53EC"/>
    <w:rsid w:val="00CF5D01"/>
    <w:rsid w:val="00CF6112"/>
    <w:rsid w:val="00CF6271"/>
    <w:rsid w:val="00CF6358"/>
    <w:rsid w:val="00CF6B6C"/>
    <w:rsid w:val="00CF7EEE"/>
    <w:rsid w:val="00CF7F61"/>
    <w:rsid w:val="00D00176"/>
    <w:rsid w:val="00D002F0"/>
    <w:rsid w:val="00D0035B"/>
    <w:rsid w:val="00D00B14"/>
    <w:rsid w:val="00D00C2F"/>
    <w:rsid w:val="00D01276"/>
    <w:rsid w:val="00D01606"/>
    <w:rsid w:val="00D016A5"/>
    <w:rsid w:val="00D0197F"/>
    <w:rsid w:val="00D01A53"/>
    <w:rsid w:val="00D01B00"/>
    <w:rsid w:val="00D01DF6"/>
    <w:rsid w:val="00D01EFE"/>
    <w:rsid w:val="00D021CC"/>
    <w:rsid w:val="00D022D1"/>
    <w:rsid w:val="00D0245F"/>
    <w:rsid w:val="00D02548"/>
    <w:rsid w:val="00D0259A"/>
    <w:rsid w:val="00D029B6"/>
    <w:rsid w:val="00D03540"/>
    <w:rsid w:val="00D035F1"/>
    <w:rsid w:val="00D036BC"/>
    <w:rsid w:val="00D03960"/>
    <w:rsid w:val="00D03967"/>
    <w:rsid w:val="00D03B1C"/>
    <w:rsid w:val="00D03D54"/>
    <w:rsid w:val="00D041F1"/>
    <w:rsid w:val="00D0443C"/>
    <w:rsid w:val="00D045BE"/>
    <w:rsid w:val="00D046E4"/>
    <w:rsid w:val="00D047C3"/>
    <w:rsid w:val="00D04932"/>
    <w:rsid w:val="00D04D3A"/>
    <w:rsid w:val="00D0502B"/>
    <w:rsid w:val="00D05121"/>
    <w:rsid w:val="00D058EB"/>
    <w:rsid w:val="00D05E10"/>
    <w:rsid w:val="00D0603F"/>
    <w:rsid w:val="00D067C7"/>
    <w:rsid w:val="00D06F5A"/>
    <w:rsid w:val="00D077F7"/>
    <w:rsid w:val="00D07C20"/>
    <w:rsid w:val="00D07F4D"/>
    <w:rsid w:val="00D10659"/>
    <w:rsid w:val="00D107E2"/>
    <w:rsid w:val="00D10C0A"/>
    <w:rsid w:val="00D10F38"/>
    <w:rsid w:val="00D11722"/>
    <w:rsid w:val="00D11892"/>
    <w:rsid w:val="00D11A47"/>
    <w:rsid w:val="00D11C1B"/>
    <w:rsid w:val="00D11EFA"/>
    <w:rsid w:val="00D11F18"/>
    <w:rsid w:val="00D123CE"/>
    <w:rsid w:val="00D127FB"/>
    <w:rsid w:val="00D12DB4"/>
    <w:rsid w:val="00D12E47"/>
    <w:rsid w:val="00D1304E"/>
    <w:rsid w:val="00D13E45"/>
    <w:rsid w:val="00D143EB"/>
    <w:rsid w:val="00D14995"/>
    <w:rsid w:val="00D14CA3"/>
    <w:rsid w:val="00D14DA5"/>
    <w:rsid w:val="00D15AB3"/>
    <w:rsid w:val="00D15AEC"/>
    <w:rsid w:val="00D16055"/>
    <w:rsid w:val="00D161F4"/>
    <w:rsid w:val="00D164DA"/>
    <w:rsid w:val="00D16764"/>
    <w:rsid w:val="00D169FD"/>
    <w:rsid w:val="00D16C48"/>
    <w:rsid w:val="00D16F3E"/>
    <w:rsid w:val="00D17519"/>
    <w:rsid w:val="00D1791E"/>
    <w:rsid w:val="00D17A37"/>
    <w:rsid w:val="00D17A57"/>
    <w:rsid w:val="00D17F70"/>
    <w:rsid w:val="00D2069C"/>
    <w:rsid w:val="00D2074B"/>
    <w:rsid w:val="00D2079C"/>
    <w:rsid w:val="00D2086B"/>
    <w:rsid w:val="00D20899"/>
    <w:rsid w:val="00D20AB0"/>
    <w:rsid w:val="00D20C65"/>
    <w:rsid w:val="00D20F81"/>
    <w:rsid w:val="00D21366"/>
    <w:rsid w:val="00D21F66"/>
    <w:rsid w:val="00D221DC"/>
    <w:rsid w:val="00D223D6"/>
    <w:rsid w:val="00D22926"/>
    <w:rsid w:val="00D22FE2"/>
    <w:rsid w:val="00D232BB"/>
    <w:rsid w:val="00D23418"/>
    <w:rsid w:val="00D23AFD"/>
    <w:rsid w:val="00D23D02"/>
    <w:rsid w:val="00D23F6C"/>
    <w:rsid w:val="00D24956"/>
    <w:rsid w:val="00D249E5"/>
    <w:rsid w:val="00D24C41"/>
    <w:rsid w:val="00D24CEC"/>
    <w:rsid w:val="00D26576"/>
    <w:rsid w:val="00D26E07"/>
    <w:rsid w:val="00D27158"/>
    <w:rsid w:val="00D271CE"/>
    <w:rsid w:val="00D27741"/>
    <w:rsid w:val="00D27D42"/>
    <w:rsid w:val="00D301C7"/>
    <w:rsid w:val="00D30509"/>
    <w:rsid w:val="00D31509"/>
    <w:rsid w:val="00D3204D"/>
    <w:rsid w:val="00D321AE"/>
    <w:rsid w:val="00D3237E"/>
    <w:rsid w:val="00D324C6"/>
    <w:rsid w:val="00D32BB9"/>
    <w:rsid w:val="00D32CB8"/>
    <w:rsid w:val="00D32D14"/>
    <w:rsid w:val="00D33CB2"/>
    <w:rsid w:val="00D33E1D"/>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491"/>
    <w:rsid w:val="00D405BD"/>
    <w:rsid w:val="00D40B6D"/>
    <w:rsid w:val="00D40FA3"/>
    <w:rsid w:val="00D41923"/>
    <w:rsid w:val="00D41DC6"/>
    <w:rsid w:val="00D41F11"/>
    <w:rsid w:val="00D42419"/>
    <w:rsid w:val="00D42474"/>
    <w:rsid w:val="00D42DBE"/>
    <w:rsid w:val="00D43246"/>
    <w:rsid w:val="00D4370C"/>
    <w:rsid w:val="00D438C1"/>
    <w:rsid w:val="00D43E3E"/>
    <w:rsid w:val="00D4415E"/>
    <w:rsid w:val="00D44F16"/>
    <w:rsid w:val="00D44F56"/>
    <w:rsid w:val="00D44FE2"/>
    <w:rsid w:val="00D450D0"/>
    <w:rsid w:val="00D45AFF"/>
    <w:rsid w:val="00D45FA4"/>
    <w:rsid w:val="00D46037"/>
    <w:rsid w:val="00D460BD"/>
    <w:rsid w:val="00D464FD"/>
    <w:rsid w:val="00D46865"/>
    <w:rsid w:val="00D46891"/>
    <w:rsid w:val="00D46BE5"/>
    <w:rsid w:val="00D46F3D"/>
    <w:rsid w:val="00D471E8"/>
    <w:rsid w:val="00D47CF6"/>
    <w:rsid w:val="00D50273"/>
    <w:rsid w:val="00D502FC"/>
    <w:rsid w:val="00D50843"/>
    <w:rsid w:val="00D516EC"/>
    <w:rsid w:val="00D51700"/>
    <w:rsid w:val="00D51A0E"/>
    <w:rsid w:val="00D51C96"/>
    <w:rsid w:val="00D51FC0"/>
    <w:rsid w:val="00D52107"/>
    <w:rsid w:val="00D523A5"/>
    <w:rsid w:val="00D52418"/>
    <w:rsid w:val="00D52AC4"/>
    <w:rsid w:val="00D52B37"/>
    <w:rsid w:val="00D52E09"/>
    <w:rsid w:val="00D52E6A"/>
    <w:rsid w:val="00D53227"/>
    <w:rsid w:val="00D53344"/>
    <w:rsid w:val="00D53A82"/>
    <w:rsid w:val="00D5494E"/>
    <w:rsid w:val="00D549FD"/>
    <w:rsid w:val="00D54CA5"/>
    <w:rsid w:val="00D5517A"/>
    <w:rsid w:val="00D551C3"/>
    <w:rsid w:val="00D5536A"/>
    <w:rsid w:val="00D558AB"/>
    <w:rsid w:val="00D56C0C"/>
    <w:rsid w:val="00D570E7"/>
    <w:rsid w:val="00D5776F"/>
    <w:rsid w:val="00D57D08"/>
    <w:rsid w:val="00D57E83"/>
    <w:rsid w:val="00D6062E"/>
    <w:rsid w:val="00D61057"/>
    <w:rsid w:val="00D61061"/>
    <w:rsid w:val="00D61293"/>
    <w:rsid w:val="00D623F0"/>
    <w:rsid w:val="00D625DC"/>
    <w:rsid w:val="00D62819"/>
    <w:rsid w:val="00D629C9"/>
    <w:rsid w:val="00D62CEC"/>
    <w:rsid w:val="00D63052"/>
    <w:rsid w:val="00D6322E"/>
    <w:rsid w:val="00D6323D"/>
    <w:rsid w:val="00D63417"/>
    <w:rsid w:val="00D6346D"/>
    <w:rsid w:val="00D634D2"/>
    <w:rsid w:val="00D63CDB"/>
    <w:rsid w:val="00D63E3F"/>
    <w:rsid w:val="00D64600"/>
    <w:rsid w:val="00D64A08"/>
    <w:rsid w:val="00D64ACA"/>
    <w:rsid w:val="00D64E98"/>
    <w:rsid w:val="00D6503B"/>
    <w:rsid w:val="00D65086"/>
    <w:rsid w:val="00D657A5"/>
    <w:rsid w:val="00D65897"/>
    <w:rsid w:val="00D65C0B"/>
    <w:rsid w:val="00D66164"/>
    <w:rsid w:val="00D663FD"/>
    <w:rsid w:val="00D6651A"/>
    <w:rsid w:val="00D66893"/>
    <w:rsid w:val="00D66C9F"/>
    <w:rsid w:val="00D671F8"/>
    <w:rsid w:val="00D67DC0"/>
    <w:rsid w:val="00D70B22"/>
    <w:rsid w:val="00D70BC7"/>
    <w:rsid w:val="00D70E3C"/>
    <w:rsid w:val="00D70F3E"/>
    <w:rsid w:val="00D71675"/>
    <w:rsid w:val="00D7168C"/>
    <w:rsid w:val="00D716FA"/>
    <w:rsid w:val="00D717ED"/>
    <w:rsid w:val="00D71CA7"/>
    <w:rsid w:val="00D72764"/>
    <w:rsid w:val="00D72A7A"/>
    <w:rsid w:val="00D72B94"/>
    <w:rsid w:val="00D72C21"/>
    <w:rsid w:val="00D72FD3"/>
    <w:rsid w:val="00D73BED"/>
    <w:rsid w:val="00D73C7A"/>
    <w:rsid w:val="00D747AB"/>
    <w:rsid w:val="00D7514C"/>
    <w:rsid w:val="00D76B3D"/>
    <w:rsid w:val="00D76DCC"/>
    <w:rsid w:val="00D76FB9"/>
    <w:rsid w:val="00D77131"/>
    <w:rsid w:val="00D773F0"/>
    <w:rsid w:val="00D779CC"/>
    <w:rsid w:val="00D77CFF"/>
    <w:rsid w:val="00D77FA0"/>
    <w:rsid w:val="00D77FAC"/>
    <w:rsid w:val="00D80946"/>
    <w:rsid w:val="00D80E1D"/>
    <w:rsid w:val="00D80E90"/>
    <w:rsid w:val="00D812B2"/>
    <w:rsid w:val="00D815AC"/>
    <w:rsid w:val="00D81887"/>
    <w:rsid w:val="00D81BE5"/>
    <w:rsid w:val="00D81E44"/>
    <w:rsid w:val="00D8210A"/>
    <w:rsid w:val="00D8233D"/>
    <w:rsid w:val="00D825DF"/>
    <w:rsid w:val="00D8287A"/>
    <w:rsid w:val="00D82F86"/>
    <w:rsid w:val="00D831AC"/>
    <w:rsid w:val="00D83439"/>
    <w:rsid w:val="00D84824"/>
    <w:rsid w:val="00D85785"/>
    <w:rsid w:val="00D860F2"/>
    <w:rsid w:val="00D866F5"/>
    <w:rsid w:val="00D86EE6"/>
    <w:rsid w:val="00D87674"/>
    <w:rsid w:val="00D903AF"/>
    <w:rsid w:val="00D90980"/>
    <w:rsid w:val="00D90982"/>
    <w:rsid w:val="00D90A7C"/>
    <w:rsid w:val="00D90CE7"/>
    <w:rsid w:val="00D90E89"/>
    <w:rsid w:val="00D916DC"/>
    <w:rsid w:val="00D91CFE"/>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4082"/>
    <w:rsid w:val="00D947AA"/>
    <w:rsid w:val="00D94B35"/>
    <w:rsid w:val="00D95059"/>
    <w:rsid w:val="00D955C8"/>
    <w:rsid w:val="00D957FD"/>
    <w:rsid w:val="00D960F3"/>
    <w:rsid w:val="00D96BDC"/>
    <w:rsid w:val="00D96D7B"/>
    <w:rsid w:val="00D970EC"/>
    <w:rsid w:val="00D972F1"/>
    <w:rsid w:val="00D97E07"/>
    <w:rsid w:val="00D97E4E"/>
    <w:rsid w:val="00D97EA9"/>
    <w:rsid w:val="00D97F4D"/>
    <w:rsid w:val="00DA039F"/>
    <w:rsid w:val="00DA0577"/>
    <w:rsid w:val="00DA06B2"/>
    <w:rsid w:val="00DA0DDB"/>
    <w:rsid w:val="00DA11EC"/>
    <w:rsid w:val="00DA1EC6"/>
    <w:rsid w:val="00DA1EE7"/>
    <w:rsid w:val="00DA1F8D"/>
    <w:rsid w:val="00DA1FC8"/>
    <w:rsid w:val="00DA25D4"/>
    <w:rsid w:val="00DA29D6"/>
    <w:rsid w:val="00DA29F4"/>
    <w:rsid w:val="00DA426C"/>
    <w:rsid w:val="00DA47DC"/>
    <w:rsid w:val="00DA545E"/>
    <w:rsid w:val="00DA58D4"/>
    <w:rsid w:val="00DA5D0C"/>
    <w:rsid w:val="00DA6257"/>
    <w:rsid w:val="00DA6942"/>
    <w:rsid w:val="00DA6AD1"/>
    <w:rsid w:val="00DA6DB9"/>
    <w:rsid w:val="00DA729D"/>
    <w:rsid w:val="00DB0117"/>
    <w:rsid w:val="00DB06A9"/>
    <w:rsid w:val="00DB0CE4"/>
    <w:rsid w:val="00DB0E4A"/>
    <w:rsid w:val="00DB151C"/>
    <w:rsid w:val="00DB19DA"/>
    <w:rsid w:val="00DB1AD8"/>
    <w:rsid w:val="00DB1E6F"/>
    <w:rsid w:val="00DB1FAC"/>
    <w:rsid w:val="00DB1FF5"/>
    <w:rsid w:val="00DB2682"/>
    <w:rsid w:val="00DB2733"/>
    <w:rsid w:val="00DB347B"/>
    <w:rsid w:val="00DB370F"/>
    <w:rsid w:val="00DB3854"/>
    <w:rsid w:val="00DB3EF2"/>
    <w:rsid w:val="00DB408A"/>
    <w:rsid w:val="00DB4518"/>
    <w:rsid w:val="00DB51E7"/>
    <w:rsid w:val="00DB5695"/>
    <w:rsid w:val="00DB58CB"/>
    <w:rsid w:val="00DB5999"/>
    <w:rsid w:val="00DB5A32"/>
    <w:rsid w:val="00DB68BA"/>
    <w:rsid w:val="00DB6B86"/>
    <w:rsid w:val="00DB7552"/>
    <w:rsid w:val="00DB7A63"/>
    <w:rsid w:val="00DB7F67"/>
    <w:rsid w:val="00DC00DA"/>
    <w:rsid w:val="00DC0436"/>
    <w:rsid w:val="00DC044D"/>
    <w:rsid w:val="00DC094A"/>
    <w:rsid w:val="00DC0D95"/>
    <w:rsid w:val="00DC0DD6"/>
    <w:rsid w:val="00DC1702"/>
    <w:rsid w:val="00DC2D36"/>
    <w:rsid w:val="00DC3347"/>
    <w:rsid w:val="00DC3B3B"/>
    <w:rsid w:val="00DC3D00"/>
    <w:rsid w:val="00DC4FFD"/>
    <w:rsid w:val="00DC55A0"/>
    <w:rsid w:val="00DC5B38"/>
    <w:rsid w:val="00DC5ED7"/>
    <w:rsid w:val="00DC644B"/>
    <w:rsid w:val="00DC66DA"/>
    <w:rsid w:val="00DC68E6"/>
    <w:rsid w:val="00DC6E8F"/>
    <w:rsid w:val="00DC7213"/>
    <w:rsid w:val="00DC7A62"/>
    <w:rsid w:val="00DC7C5B"/>
    <w:rsid w:val="00DC7E89"/>
    <w:rsid w:val="00DD03D6"/>
    <w:rsid w:val="00DD0606"/>
    <w:rsid w:val="00DD0A58"/>
    <w:rsid w:val="00DD0B98"/>
    <w:rsid w:val="00DD0BCB"/>
    <w:rsid w:val="00DD143C"/>
    <w:rsid w:val="00DD15A0"/>
    <w:rsid w:val="00DD23F7"/>
    <w:rsid w:val="00DD24BA"/>
    <w:rsid w:val="00DD24D3"/>
    <w:rsid w:val="00DD269A"/>
    <w:rsid w:val="00DD2811"/>
    <w:rsid w:val="00DD370C"/>
    <w:rsid w:val="00DD3BD7"/>
    <w:rsid w:val="00DD3DFA"/>
    <w:rsid w:val="00DD450D"/>
    <w:rsid w:val="00DD4553"/>
    <w:rsid w:val="00DD464E"/>
    <w:rsid w:val="00DD4941"/>
    <w:rsid w:val="00DD49F6"/>
    <w:rsid w:val="00DD4D55"/>
    <w:rsid w:val="00DD5052"/>
    <w:rsid w:val="00DD53E7"/>
    <w:rsid w:val="00DD5A31"/>
    <w:rsid w:val="00DD5A83"/>
    <w:rsid w:val="00DD5B0D"/>
    <w:rsid w:val="00DD5BCD"/>
    <w:rsid w:val="00DD62D6"/>
    <w:rsid w:val="00DD6549"/>
    <w:rsid w:val="00DD6A41"/>
    <w:rsid w:val="00DD6B64"/>
    <w:rsid w:val="00DD6BDF"/>
    <w:rsid w:val="00DD6C65"/>
    <w:rsid w:val="00DD74F2"/>
    <w:rsid w:val="00DD750C"/>
    <w:rsid w:val="00DD76B2"/>
    <w:rsid w:val="00DD7B7B"/>
    <w:rsid w:val="00DE005B"/>
    <w:rsid w:val="00DE03BC"/>
    <w:rsid w:val="00DE0715"/>
    <w:rsid w:val="00DE0B76"/>
    <w:rsid w:val="00DE0BCE"/>
    <w:rsid w:val="00DE1060"/>
    <w:rsid w:val="00DE119D"/>
    <w:rsid w:val="00DE12C8"/>
    <w:rsid w:val="00DE1388"/>
    <w:rsid w:val="00DE13D0"/>
    <w:rsid w:val="00DE15F3"/>
    <w:rsid w:val="00DE1769"/>
    <w:rsid w:val="00DE1C76"/>
    <w:rsid w:val="00DE22AD"/>
    <w:rsid w:val="00DE28C1"/>
    <w:rsid w:val="00DE2EDF"/>
    <w:rsid w:val="00DE3166"/>
    <w:rsid w:val="00DE333C"/>
    <w:rsid w:val="00DE35BC"/>
    <w:rsid w:val="00DE3751"/>
    <w:rsid w:val="00DE3A89"/>
    <w:rsid w:val="00DE3B8E"/>
    <w:rsid w:val="00DE3F2A"/>
    <w:rsid w:val="00DE41A6"/>
    <w:rsid w:val="00DE427C"/>
    <w:rsid w:val="00DE43A0"/>
    <w:rsid w:val="00DE4778"/>
    <w:rsid w:val="00DE5783"/>
    <w:rsid w:val="00DE5C3E"/>
    <w:rsid w:val="00DE5D72"/>
    <w:rsid w:val="00DE6D81"/>
    <w:rsid w:val="00DE6F22"/>
    <w:rsid w:val="00DE6FEB"/>
    <w:rsid w:val="00DF0702"/>
    <w:rsid w:val="00DF09AA"/>
    <w:rsid w:val="00DF14AE"/>
    <w:rsid w:val="00DF1724"/>
    <w:rsid w:val="00DF1932"/>
    <w:rsid w:val="00DF1F28"/>
    <w:rsid w:val="00DF2044"/>
    <w:rsid w:val="00DF2AB8"/>
    <w:rsid w:val="00DF2B9D"/>
    <w:rsid w:val="00DF2C89"/>
    <w:rsid w:val="00DF2E7F"/>
    <w:rsid w:val="00DF3B18"/>
    <w:rsid w:val="00DF3B79"/>
    <w:rsid w:val="00DF3BB2"/>
    <w:rsid w:val="00DF3DE8"/>
    <w:rsid w:val="00DF3EC0"/>
    <w:rsid w:val="00DF475F"/>
    <w:rsid w:val="00DF5CD6"/>
    <w:rsid w:val="00DF5E6A"/>
    <w:rsid w:val="00DF5F83"/>
    <w:rsid w:val="00DF65F9"/>
    <w:rsid w:val="00DF671A"/>
    <w:rsid w:val="00DF68FA"/>
    <w:rsid w:val="00DF6CE8"/>
    <w:rsid w:val="00DF78C6"/>
    <w:rsid w:val="00DF7B1D"/>
    <w:rsid w:val="00DF7D7F"/>
    <w:rsid w:val="00DF7F48"/>
    <w:rsid w:val="00E0008B"/>
    <w:rsid w:val="00E00698"/>
    <w:rsid w:val="00E0072A"/>
    <w:rsid w:val="00E00974"/>
    <w:rsid w:val="00E00E42"/>
    <w:rsid w:val="00E01142"/>
    <w:rsid w:val="00E02035"/>
    <w:rsid w:val="00E02116"/>
    <w:rsid w:val="00E021F6"/>
    <w:rsid w:val="00E024A3"/>
    <w:rsid w:val="00E025B6"/>
    <w:rsid w:val="00E02B0C"/>
    <w:rsid w:val="00E02C0F"/>
    <w:rsid w:val="00E02F82"/>
    <w:rsid w:val="00E02FE0"/>
    <w:rsid w:val="00E035D4"/>
    <w:rsid w:val="00E0384F"/>
    <w:rsid w:val="00E0389B"/>
    <w:rsid w:val="00E043A9"/>
    <w:rsid w:val="00E0463E"/>
    <w:rsid w:val="00E04DD8"/>
    <w:rsid w:val="00E04EE7"/>
    <w:rsid w:val="00E04F60"/>
    <w:rsid w:val="00E06852"/>
    <w:rsid w:val="00E069F4"/>
    <w:rsid w:val="00E06D2D"/>
    <w:rsid w:val="00E06E5F"/>
    <w:rsid w:val="00E0792A"/>
    <w:rsid w:val="00E07AF1"/>
    <w:rsid w:val="00E07BE1"/>
    <w:rsid w:val="00E07CE8"/>
    <w:rsid w:val="00E07D6E"/>
    <w:rsid w:val="00E100B0"/>
    <w:rsid w:val="00E10431"/>
    <w:rsid w:val="00E10717"/>
    <w:rsid w:val="00E10AC8"/>
    <w:rsid w:val="00E10B6B"/>
    <w:rsid w:val="00E113B9"/>
    <w:rsid w:val="00E12258"/>
    <w:rsid w:val="00E12659"/>
    <w:rsid w:val="00E12872"/>
    <w:rsid w:val="00E128A1"/>
    <w:rsid w:val="00E128CE"/>
    <w:rsid w:val="00E128F4"/>
    <w:rsid w:val="00E129A2"/>
    <w:rsid w:val="00E12A15"/>
    <w:rsid w:val="00E1308A"/>
    <w:rsid w:val="00E1379F"/>
    <w:rsid w:val="00E13C00"/>
    <w:rsid w:val="00E14211"/>
    <w:rsid w:val="00E1422B"/>
    <w:rsid w:val="00E1458F"/>
    <w:rsid w:val="00E1468D"/>
    <w:rsid w:val="00E146B9"/>
    <w:rsid w:val="00E14D76"/>
    <w:rsid w:val="00E15857"/>
    <w:rsid w:val="00E15895"/>
    <w:rsid w:val="00E158C7"/>
    <w:rsid w:val="00E15FE6"/>
    <w:rsid w:val="00E16039"/>
    <w:rsid w:val="00E16306"/>
    <w:rsid w:val="00E1649A"/>
    <w:rsid w:val="00E1649B"/>
    <w:rsid w:val="00E164A4"/>
    <w:rsid w:val="00E165EA"/>
    <w:rsid w:val="00E16ACF"/>
    <w:rsid w:val="00E16C29"/>
    <w:rsid w:val="00E16E36"/>
    <w:rsid w:val="00E16ED5"/>
    <w:rsid w:val="00E173FF"/>
    <w:rsid w:val="00E17C4E"/>
    <w:rsid w:val="00E17EC7"/>
    <w:rsid w:val="00E200C8"/>
    <w:rsid w:val="00E2021E"/>
    <w:rsid w:val="00E2122B"/>
    <w:rsid w:val="00E21846"/>
    <w:rsid w:val="00E22C89"/>
    <w:rsid w:val="00E230D7"/>
    <w:rsid w:val="00E23382"/>
    <w:rsid w:val="00E23CB2"/>
    <w:rsid w:val="00E24286"/>
    <w:rsid w:val="00E24EB3"/>
    <w:rsid w:val="00E25233"/>
    <w:rsid w:val="00E25445"/>
    <w:rsid w:val="00E25DC4"/>
    <w:rsid w:val="00E26380"/>
    <w:rsid w:val="00E26BB7"/>
    <w:rsid w:val="00E26E80"/>
    <w:rsid w:val="00E2710A"/>
    <w:rsid w:val="00E273C2"/>
    <w:rsid w:val="00E27428"/>
    <w:rsid w:val="00E276D5"/>
    <w:rsid w:val="00E2787E"/>
    <w:rsid w:val="00E27DDA"/>
    <w:rsid w:val="00E30196"/>
    <w:rsid w:val="00E302E7"/>
    <w:rsid w:val="00E30E8C"/>
    <w:rsid w:val="00E30F09"/>
    <w:rsid w:val="00E30F25"/>
    <w:rsid w:val="00E3105D"/>
    <w:rsid w:val="00E31125"/>
    <w:rsid w:val="00E31C59"/>
    <w:rsid w:val="00E3205A"/>
    <w:rsid w:val="00E321BF"/>
    <w:rsid w:val="00E325B1"/>
    <w:rsid w:val="00E32E04"/>
    <w:rsid w:val="00E3317F"/>
    <w:rsid w:val="00E333DE"/>
    <w:rsid w:val="00E33C46"/>
    <w:rsid w:val="00E33E34"/>
    <w:rsid w:val="00E348C4"/>
    <w:rsid w:val="00E349B1"/>
    <w:rsid w:val="00E34B80"/>
    <w:rsid w:val="00E34DB8"/>
    <w:rsid w:val="00E352CA"/>
    <w:rsid w:val="00E35368"/>
    <w:rsid w:val="00E353C6"/>
    <w:rsid w:val="00E35E0E"/>
    <w:rsid w:val="00E3641C"/>
    <w:rsid w:val="00E3678B"/>
    <w:rsid w:val="00E36C7E"/>
    <w:rsid w:val="00E36F18"/>
    <w:rsid w:val="00E373EF"/>
    <w:rsid w:val="00E3758A"/>
    <w:rsid w:val="00E3760B"/>
    <w:rsid w:val="00E37615"/>
    <w:rsid w:val="00E37990"/>
    <w:rsid w:val="00E379A8"/>
    <w:rsid w:val="00E40384"/>
    <w:rsid w:val="00E40608"/>
    <w:rsid w:val="00E406D1"/>
    <w:rsid w:val="00E407F2"/>
    <w:rsid w:val="00E408F9"/>
    <w:rsid w:val="00E40C0C"/>
    <w:rsid w:val="00E40C4B"/>
    <w:rsid w:val="00E40CFB"/>
    <w:rsid w:val="00E40FE0"/>
    <w:rsid w:val="00E41634"/>
    <w:rsid w:val="00E41B5E"/>
    <w:rsid w:val="00E42F33"/>
    <w:rsid w:val="00E43858"/>
    <w:rsid w:val="00E43DF2"/>
    <w:rsid w:val="00E43EE8"/>
    <w:rsid w:val="00E443C4"/>
    <w:rsid w:val="00E44505"/>
    <w:rsid w:val="00E44848"/>
    <w:rsid w:val="00E44B93"/>
    <w:rsid w:val="00E44CFF"/>
    <w:rsid w:val="00E451AD"/>
    <w:rsid w:val="00E454D1"/>
    <w:rsid w:val="00E460E9"/>
    <w:rsid w:val="00E46983"/>
    <w:rsid w:val="00E46AE4"/>
    <w:rsid w:val="00E46BFB"/>
    <w:rsid w:val="00E46C84"/>
    <w:rsid w:val="00E46D9C"/>
    <w:rsid w:val="00E47AB1"/>
    <w:rsid w:val="00E47B00"/>
    <w:rsid w:val="00E5002B"/>
    <w:rsid w:val="00E50A41"/>
    <w:rsid w:val="00E50D71"/>
    <w:rsid w:val="00E50F2F"/>
    <w:rsid w:val="00E510F5"/>
    <w:rsid w:val="00E51446"/>
    <w:rsid w:val="00E51883"/>
    <w:rsid w:val="00E52566"/>
    <w:rsid w:val="00E5384C"/>
    <w:rsid w:val="00E53B23"/>
    <w:rsid w:val="00E53C6A"/>
    <w:rsid w:val="00E5447D"/>
    <w:rsid w:val="00E54480"/>
    <w:rsid w:val="00E54C28"/>
    <w:rsid w:val="00E5531F"/>
    <w:rsid w:val="00E554BD"/>
    <w:rsid w:val="00E561F8"/>
    <w:rsid w:val="00E5633A"/>
    <w:rsid w:val="00E5635A"/>
    <w:rsid w:val="00E56430"/>
    <w:rsid w:val="00E568F4"/>
    <w:rsid w:val="00E56A46"/>
    <w:rsid w:val="00E56B02"/>
    <w:rsid w:val="00E56BF5"/>
    <w:rsid w:val="00E57E56"/>
    <w:rsid w:val="00E600DD"/>
    <w:rsid w:val="00E601BA"/>
    <w:rsid w:val="00E60325"/>
    <w:rsid w:val="00E60354"/>
    <w:rsid w:val="00E607FF"/>
    <w:rsid w:val="00E61680"/>
    <w:rsid w:val="00E61B30"/>
    <w:rsid w:val="00E62213"/>
    <w:rsid w:val="00E627F8"/>
    <w:rsid w:val="00E62ADC"/>
    <w:rsid w:val="00E62C0A"/>
    <w:rsid w:val="00E62FF0"/>
    <w:rsid w:val="00E630A7"/>
    <w:rsid w:val="00E6326D"/>
    <w:rsid w:val="00E635F9"/>
    <w:rsid w:val="00E63A9F"/>
    <w:rsid w:val="00E64305"/>
    <w:rsid w:val="00E644A4"/>
    <w:rsid w:val="00E646D8"/>
    <w:rsid w:val="00E64885"/>
    <w:rsid w:val="00E64B15"/>
    <w:rsid w:val="00E64EFC"/>
    <w:rsid w:val="00E65C8B"/>
    <w:rsid w:val="00E65F56"/>
    <w:rsid w:val="00E65FE1"/>
    <w:rsid w:val="00E66227"/>
    <w:rsid w:val="00E6648D"/>
    <w:rsid w:val="00E669FF"/>
    <w:rsid w:val="00E674F5"/>
    <w:rsid w:val="00E67789"/>
    <w:rsid w:val="00E67D72"/>
    <w:rsid w:val="00E67DE9"/>
    <w:rsid w:val="00E7059F"/>
    <w:rsid w:val="00E705CB"/>
    <w:rsid w:val="00E707EE"/>
    <w:rsid w:val="00E70EA2"/>
    <w:rsid w:val="00E7112B"/>
    <w:rsid w:val="00E7152D"/>
    <w:rsid w:val="00E71D8B"/>
    <w:rsid w:val="00E71F81"/>
    <w:rsid w:val="00E71FC0"/>
    <w:rsid w:val="00E723D7"/>
    <w:rsid w:val="00E725D0"/>
    <w:rsid w:val="00E729CF"/>
    <w:rsid w:val="00E7316A"/>
    <w:rsid w:val="00E73D70"/>
    <w:rsid w:val="00E75730"/>
    <w:rsid w:val="00E76185"/>
    <w:rsid w:val="00E77743"/>
    <w:rsid w:val="00E77F89"/>
    <w:rsid w:val="00E8028D"/>
    <w:rsid w:val="00E802D7"/>
    <w:rsid w:val="00E80BC6"/>
    <w:rsid w:val="00E81116"/>
    <w:rsid w:val="00E8130D"/>
    <w:rsid w:val="00E815C1"/>
    <w:rsid w:val="00E81E9C"/>
    <w:rsid w:val="00E82117"/>
    <w:rsid w:val="00E827E5"/>
    <w:rsid w:val="00E82C33"/>
    <w:rsid w:val="00E82DFF"/>
    <w:rsid w:val="00E82EDF"/>
    <w:rsid w:val="00E82FED"/>
    <w:rsid w:val="00E830CD"/>
    <w:rsid w:val="00E83436"/>
    <w:rsid w:val="00E835B6"/>
    <w:rsid w:val="00E83A09"/>
    <w:rsid w:val="00E83A58"/>
    <w:rsid w:val="00E84989"/>
    <w:rsid w:val="00E84FB2"/>
    <w:rsid w:val="00E851E5"/>
    <w:rsid w:val="00E8573A"/>
    <w:rsid w:val="00E85C4C"/>
    <w:rsid w:val="00E85F7A"/>
    <w:rsid w:val="00E86046"/>
    <w:rsid w:val="00E867DC"/>
    <w:rsid w:val="00E86ADC"/>
    <w:rsid w:val="00E86ADD"/>
    <w:rsid w:val="00E86EA6"/>
    <w:rsid w:val="00E8702D"/>
    <w:rsid w:val="00E87243"/>
    <w:rsid w:val="00E87249"/>
    <w:rsid w:val="00E87346"/>
    <w:rsid w:val="00E87530"/>
    <w:rsid w:val="00E9012A"/>
    <w:rsid w:val="00E90365"/>
    <w:rsid w:val="00E904D7"/>
    <w:rsid w:val="00E9076B"/>
    <w:rsid w:val="00E9078F"/>
    <w:rsid w:val="00E90FD6"/>
    <w:rsid w:val="00E91495"/>
    <w:rsid w:val="00E916AC"/>
    <w:rsid w:val="00E924A5"/>
    <w:rsid w:val="00E927FF"/>
    <w:rsid w:val="00E92EFD"/>
    <w:rsid w:val="00E93701"/>
    <w:rsid w:val="00E93BEA"/>
    <w:rsid w:val="00E93DA9"/>
    <w:rsid w:val="00E93FDB"/>
    <w:rsid w:val="00E943B5"/>
    <w:rsid w:val="00E943E4"/>
    <w:rsid w:val="00E944FC"/>
    <w:rsid w:val="00E94F15"/>
    <w:rsid w:val="00E9527E"/>
    <w:rsid w:val="00E956A6"/>
    <w:rsid w:val="00E959B1"/>
    <w:rsid w:val="00E95A31"/>
    <w:rsid w:val="00E95AD4"/>
    <w:rsid w:val="00E960A1"/>
    <w:rsid w:val="00E969A6"/>
    <w:rsid w:val="00E96D73"/>
    <w:rsid w:val="00E97B9B"/>
    <w:rsid w:val="00E97F6D"/>
    <w:rsid w:val="00EA0183"/>
    <w:rsid w:val="00EA065E"/>
    <w:rsid w:val="00EA124D"/>
    <w:rsid w:val="00EA14D7"/>
    <w:rsid w:val="00EA1B0C"/>
    <w:rsid w:val="00EA1B88"/>
    <w:rsid w:val="00EA1E02"/>
    <w:rsid w:val="00EA1EEC"/>
    <w:rsid w:val="00EA223E"/>
    <w:rsid w:val="00EA2704"/>
    <w:rsid w:val="00EA27E5"/>
    <w:rsid w:val="00EA2868"/>
    <w:rsid w:val="00EA293A"/>
    <w:rsid w:val="00EA2CCD"/>
    <w:rsid w:val="00EA2EC9"/>
    <w:rsid w:val="00EA3960"/>
    <w:rsid w:val="00EA3987"/>
    <w:rsid w:val="00EA3BEC"/>
    <w:rsid w:val="00EA3E50"/>
    <w:rsid w:val="00EA3F99"/>
    <w:rsid w:val="00EA489C"/>
    <w:rsid w:val="00EA4F72"/>
    <w:rsid w:val="00EA55C5"/>
    <w:rsid w:val="00EA5A41"/>
    <w:rsid w:val="00EA5AA1"/>
    <w:rsid w:val="00EA5B6E"/>
    <w:rsid w:val="00EA5B88"/>
    <w:rsid w:val="00EA5DFF"/>
    <w:rsid w:val="00EA5F3F"/>
    <w:rsid w:val="00EA6A50"/>
    <w:rsid w:val="00EA6F91"/>
    <w:rsid w:val="00EA75AA"/>
    <w:rsid w:val="00EA77D0"/>
    <w:rsid w:val="00EA7E86"/>
    <w:rsid w:val="00EB0423"/>
    <w:rsid w:val="00EB04D5"/>
    <w:rsid w:val="00EB051B"/>
    <w:rsid w:val="00EB0582"/>
    <w:rsid w:val="00EB0A53"/>
    <w:rsid w:val="00EB0B2F"/>
    <w:rsid w:val="00EB0F10"/>
    <w:rsid w:val="00EB1D2B"/>
    <w:rsid w:val="00EB25F7"/>
    <w:rsid w:val="00EB2647"/>
    <w:rsid w:val="00EB2757"/>
    <w:rsid w:val="00EB2942"/>
    <w:rsid w:val="00EB2BE1"/>
    <w:rsid w:val="00EB3302"/>
    <w:rsid w:val="00EB3A10"/>
    <w:rsid w:val="00EB3BA5"/>
    <w:rsid w:val="00EB3C7C"/>
    <w:rsid w:val="00EB40F2"/>
    <w:rsid w:val="00EB40F5"/>
    <w:rsid w:val="00EB464B"/>
    <w:rsid w:val="00EB4755"/>
    <w:rsid w:val="00EB4C57"/>
    <w:rsid w:val="00EB4F02"/>
    <w:rsid w:val="00EB60B7"/>
    <w:rsid w:val="00EB613B"/>
    <w:rsid w:val="00EB6682"/>
    <w:rsid w:val="00EB6F41"/>
    <w:rsid w:val="00EB75E9"/>
    <w:rsid w:val="00EB78F4"/>
    <w:rsid w:val="00EC01C8"/>
    <w:rsid w:val="00EC09E3"/>
    <w:rsid w:val="00EC0AF2"/>
    <w:rsid w:val="00EC1A53"/>
    <w:rsid w:val="00EC1C74"/>
    <w:rsid w:val="00EC1E62"/>
    <w:rsid w:val="00EC2790"/>
    <w:rsid w:val="00EC2A17"/>
    <w:rsid w:val="00EC37FF"/>
    <w:rsid w:val="00EC3A41"/>
    <w:rsid w:val="00EC3A4F"/>
    <w:rsid w:val="00EC3C28"/>
    <w:rsid w:val="00EC3E5F"/>
    <w:rsid w:val="00EC3E81"/>
    <w:rsid w:val="00EC4378"/>
    <w:rsid w:val="00EC4431"/>
    <w:rsid w:val="00EC5015"/>
    <w:rsid w:val="00EC5681"/>
    <w:rsid w:val="00EC5A7A"/>
    <w:rsid w:val="00EC5DCE"/>
    <w:rsid w:val="00EC6527"/>
    <w:rsid w:val="00EC688D"/>
    <w:rsid w:val="00EC68B3"/>
    <w:rsid w:val="00EC6A6B"/>
    <w:rsid w:val="00EC7055"/>
    <w:rsid w:val="00EC72C1"/>
    <w:rsid w:val="00EC74C5"/>
    <w:rsid w:val="00EC752F"/>
    <w:rsid w:val="00EC7820"/>
    <w:rsid w:val="00ED004A"/>
    <w:rsid w:val="00ED0D0F"/>
    <w:rsid w:val="00ED17C4"/>
    <w:rsid w:val="00ED1D76"/>
    <w:rsid w:val="00ED1D9E"/>
    <w:rsid w:val="00ED1F5B"/>
    <w:rsid w:val="00ED215B"/>
    <w:rsid w:val="00ED2329"/>
    <w:rsid w:val="00ED2770"/>
    <w:rsid w:val="00ED29E6"/>
    <w:rsid w:val="00ED2D27"/>
    <w:rsid w:val="00ED2DB3"/>
    <w:rsid w:val="00ED3553"/>
    <w:rsid w:val="00ED3659"/>
    <w:rsid w:val="00ED3672"/>
    <w:rsid w:val="00ED39C2"/>
    <w:rsid w:val="00ED3DEB"/>
    <w:rsid w:val="00ED3E73"/>
    <w:rsid w:val="00ED4537"/>
    <w:rsid w:val="00ED45D9"/>
    <w:rsid w:val="00ED4BA5"/>
    <w:rsid w:val="00ED4D36"/>
    <w:rsid w:val="00ED5256"/>
    <w:rsid w:val="00ED533C"/>
    <w:rsid w:val="00ED53A1"/>
    <w:rsid w:val="00ED64E9"/>
    <w:rsid w:val="00ED7248"/>
    <w:rsid w:val="00ED74E9"/>
    <w:rsid w:val="00ED7986"/>
    <w:rsid w:val="00ED79A7"/>
    <w:rsid w:val="00ED7C00"/>
    <w:rsid w:val="00EE0248"/>
    <w:rsid w:val="00EE02AB"/>
    <w:rsid w:val="00EE0458"/>
    <w:rsid w:val="00EE05BE"/>
    <w:rsid w:val="00EE0C55"/>
    <w:rsid w:val="00EE1366"/>
    <w:rsid w:val="00EE17C9"/>
    <w:rsid w:val="00EE1A24"/>
    <w:rsid w:val="00EE1A6F"/>
    <w:rsid w:val="00EE1BAF"/>
    <w:rsid w:val="00EE25DC"/>
    <w:rsid w:val="00EE2846"/>
    <w:rsid w:val="00EE29C7"/>
    <w:rsid w:val="00EE32D6"/>
    <w:rsid w:val="00EE3493"/>
    <w:rsid w:val="00EE3CDF"/>
    <w:rsid w:val="00EE3D4B"/>
    <w:rsid w:val="00EE4040"/>
    <w:rsid w:val="00EE49E1"/>
    <w:rsid w:val="00EE4B7F"/>
    <w:rsid w:val="00EE4C38"/>
    <w:rsid w:val="00EE4FE4"/>
    <w:rsid w:val="00EE5205"/>
    <w:rsid w:val="00EE5B0D"/>
    <w:rsid w:val="00EE5DF8"/>
    <w:rsid w:val="00EE66F2"/>
    <w:rsid w:val="00EE6D78"/>
    <w:rsid w:val="00EE7495"/>
    <w:rsid w:val="00EE75D2"/>
    <w:rsid w:val="00EE7C50"/>
    <w:rsid w:val="00EF0173"/>
    <w:rsid w:val="00EF031C"/>
    <w:rsid w:val="00EF05C2"/>
    <w:rsid w:val="00EF0AC7"/>
    <w:rsid w:val="00EF1DBA"/>
    <w:rsid w:val="00EF27B7"/>
    <w:rsid w:val="00EF2EF7"/>
    <w:rsid w:val="00EF2FC3"/>
    <w:rsid w:val="00EF36F1"/>
    <w:rsid w:val="00EF3CE5"/>
    <w:rsid w:val="00EF3EE9"/>
    <w:rsid w:val="00EF40D0"/>
    <w:rsid w:val="00EF41D3"/>
    <w:rsid w:val="00EF4663"/>
    <w:rsid w:val="00EF4A13"/>
    <w:rsid w:val="00EF4C8B"/>
    <w:rsid w:val="00EF4D6A"/>
    <w:rsid w:val="00EF4F6E"/>
    <w:rsid w:val="00EF593F"/>
    <w:rsid w:val="00EF599C"/>
    <w:rsid w:val="00EF5B23"/>
    <w:rsid w:val="00EF5E34"/>
    <w:rsid w:val="00EF641F"/>
    <w:rsid w:val="00EF670E"/>
    <w:rsid w:val="00EF6A47"/>
    <w:rsid w:val="00EF75E0"/>
    <w:rsid w:val="00EF7B9F"/>
    <w:rsid w:val="00EF7E88"/>
    <w:rsid w:val="00F004F5"/>
    <w:rsid w:val="00F0094C"/>
    <w:rsid w:val="00F00B9F"/>
    <w:rsid w:val="00F00F07"/>
    <w:rsid w:val="00F01BF5"/>
    <w:rsid w:val="00F01D3B"/>
    <w:rsid w:val="00F025A4"/>
    <w:rsid w:val="00F0293D"/>
    <w:rsid w:val="00F02B56"/>
    <w:rsid w:val="00F02CD1"/>
    <w:rsid w:val="00F02E0B"/>
    <w:rsid w:val="00F030BC"/>
    <w:rsid w:val="00F0330E"/>
    <w:rsid w:val="00F039F9"/>
    <w:rsid w:val="00F03E13"/>
    <w:rsid w:val="00F04173"/>
    <w:rsid w:val="00F0472A"/>
    <w:rsid w:val="00F04A82"/>
    <w:rsid w:val="00F04C25"/>
    <w:rsid w:val="00F057A4"/>
    <w:rsid w:val="00F05AFD"/>
    <w:rsid w:val="00F0613D"/>
    <w:rsid w:val="00F065B3"/>
    <w:rsid w:val="00F06794"/>
    <w:rsid w:val="00F07945"/>
    <w:rsid w:val="00F07B23"/>
    <w:rsid w:val="00F1052E"/>
    <w:rsid w:val="00F106FA"/>
    <w:rsid w:val="00F10E09"/>
    <w:rsid w:val="00F10FB4"/>
    <w:rsid w:val="00F11371"/>
    <w:rsid w:val="00F115D3"/>
    <w:rsid w:val="00F1169B"/>
    <w:rsid w:val="00F11AA3"/>
    <w:rsid w:val="00F11C6F"/>
    <w:rsid w:val="00F11E2C"/>
    <w:rsid w:val="00F12BF8"/>
    <w:rsid w:val="00F12F50"/>
    <w:rsid w:val="00F132D4"/>
    <w:rsid w:val="00F132EA"/>
    <w:rsid w:val="00F13600"/>
    <w:rsid w:val="00F13958"/>
    <w:rsid w:val="00F13BF2"/>
    <w:rsid w:val="00F13C0A"/>
    <w:rsid w:val="00F13C72"/>
    <w:rsid w:val="00F13CBB"/>
    <w:rsid w:val="00F13D56"/>
    <w:rsid w:val="00F13D7F"/>
    <w:rsid w:val="00F14BAD"/>
    <w:rsid w:val="00F14FBE"/>
    <w:rsid w:val="00F1558E"/>
    <w:rsid w:val="00F15B8E"/>
    <w:rsid w:val="00F15E82"/>
    <w:rsid w:val="00F160CD"/>
    <w:rsid w:val="00F16F01"/>
    <w:rsid w:val="00F17404"/>
    <w:rsid w:val="00F177A2"/>
    <w:rsid w:val="00F179B9"/>
    <w:rsid w:val="00F17C8C"/>
    <w:rsid w:val="00F20060"/>
    <w:rsid w:val="00F200F2"/>
    <w:rsid w:val="00F2066A"/>
    <w:rsid w:val="00F208E2"/>
    <w:rsid w:val="00F209A6"/>
    <w:rsid w:val="00F20CF0"/>
    <w:rsid w:val="00F20F72"/>
    <w:rsid w:val="00F212FA"/>
    <w:rsid w:val="00F21394"/>
    <w:rsid w:val="00F2157E"/>
    <w:rsid w:val="00F21589"/>
    <w:rsid w:val="00F21A98"/>
    <w:rsid w:val="00F22157"/>
    <w:rsid w:val="00F222AA"/>
    <w:rsid w:val="00F22504"/>
    <w:rsid w:val="00F22EEF"/>
    <w:rsid w:val="00F231D1"/>
    <w:rsid w:val="00F231FB"/>
    <w:rsid w:val="00F23321"/>
    <w:rsid w:val="00F2362C"/>
    <w:rsid w:val="00F23772"/>
    <w:rsid w:val="00F24010"/>
    <w:rsid w:val="00F24053"/>
    <w:rsid w:val="00F24AA2"/>
    <w:rsid w:val="00F24F16"/>
    <w:rsid w:val="00F2547B"/>
    <w:rsid w:val="00F262C4"/>
    <w:rsid w:val="00F2680D"/>
    <w:rsid w:val="00F26E00"/>
    <w:rsid w:val="00F271FB"/>
    <w:rsid w:val="00F3008C"/>
    <w:rsid w:val="00F30547"/>
    <w:rsid w:val="00F30D04"/>
    <w:rsid w:val="00F312BC"/>
    <w:rsid w:val="00F31AF2"/>
    <w:rsid w:val="00F31BDC"/>
    <w:rsid w:val="00F32066"/>
    <w:rsid w:val="00F3256C"/>
    <w:rsid w:val="00F32F34"/>
    <w:rsid w:val="00F3312F"/>
    <w:rsid w:val="00F336B7"/>
    <w:rsid w:val="00F33869"/>
    <w:rsid w:val="00F33B51"/>
    <w:rsid w:val="00F34651"/>
    <w:rsid w:val="00F34DBC"/>
    <w:rsid w:val="00F352A1"/>
    <w:rsid w:val="00F35A5A"/>
    <w:rsid w:val="00F35D81"/>
    <w:rsid w:val="00F361F7"/>
    <w:rsid w:val="00F36310"/>
    <w:rsid w:val="00F36CBE"/>
    <w:rsid w:val="00F36F47"/>
    <w:rsid w:val="00F37EBC"/>
    <w:rsid w:val="00F4052C"/>
    <w:rsid w:val="00F40D0B"/>
    <w:rsid w:val="00F40E60"/>
    <w:rsid w:val="00F41263"/>
    <w:rsid w:val="00F4127C"/>
    <w:rsid w:val="00F41B02"/>
    <w:rsid w:val="00F41DF0"/>
    <w:rsid w:val="00F41E9F"/>
    <w:rsid w:val="00F41F2E"/>
    <w:rsid w:val="00F42379"/>
    <w:rsid w:val="00F42444"/>
    <w:rsid w:val="00F426ED"/>
    <w:rsid w:val="00F429FE"/>
    <w:rsid w:val="00F42B48"/>
    <w:rsid w:val="00F42C52"/>
    <w:rsid w:val="00F42FBE"/>
    <w:rsid w:val="00F4300D"/>
    <w:rsid w:val="00F4311F"/>
    <w:rsid w:val="00F43C67"/>
    <w:rsid w:val="00F4413E"/>
    <w:rsid w:val="00F446F9"/>
    <w:rsid w:val="00F447D8"/>
    <w:rsid w:val="00F44D55"/>
    <w:rsid w:val="00F44F23"/>
    <w:rsid w:val="00F45094"/>
    <w:rsid w:val="00F451C4"/>
    <w:rsid w:val="00F4531E"/>
    <w:rsid w:val="00F45433"/>
    <w:rsid w:val="00F4552E"/>
    <w:rsid w:val="00F4583E"/>
    <w:rsid w:val="00F458F1"/>
    <w:rsid w:val="00F45C17"/>
    <w:rsid w:val="00F45D01"/>
    <w:rsid w:val="00F45DDE"/>
    <w:rsid w:val="00F4607B"/>
    <w:rsid w:val="00F46831"/>
    <w:rsid w:val="00F46D86"/>
    <w:rsid w:val="00F473D6"/>
    <w:rsid w:val="00F47A68"/>
    <w:rsid w:val="00F47E72"/>
    <w:rsid w:val="00F500E2"/>
    <w:rsid w:val="00F50381"/>
    <w:rsid w:val="00F506D3"/>
    <w:rsid w:val="00F507EB"/>
    <w:rsid w:val="00F50AB8"/>
    <w:rsid w:val="00F50ABB"/>
    <w:rsid w:val="00F51127"/>
    <w:rsid w:val="00F51661"/>
    <w:rsid w:val="00F51904"/>
    <w:rsid w:val="00F522B5"/>
    <w:rsid w:val="00F52400"/>
    <w:rsid w:val="00F52B68"/>
    <w:rsid w:val="00F52BAE"/>
    <w:rsid w:val="00F52FDE"/>
    <w:rsid w:val="00F5306F"/>
    <w:rsid w:val="00F53209"/>
    <w:rsid w:val="00F5354B"/>
    <w:rsid w:val="00F53BCE"/>
    <w:rsid w:val="00F54003"/>
    <w:rsid w:val="00F54196"/>
    <w:rsid w:val="00F54282"/>
    <w:rsid w:val="00F5440A"/>
    <w:rsid w:val="00F54D09"/>
    <w:rsid w:val="00F55222"/>
    <w:rsid w:val="00F556A3"/>
    <w:rsid w:val="00F55A2F"/>
    <w:rsid w:val="00F55DA5"/>
    <w:rsid w:val="00F55E6A"/>
    <w:rsid w:val="00F56298"/>
    <w:rsid w:val="00F563EF"/>
    <w:rsid w:val="00F565C3"/>
    <w:rsid w:val="00F569FA"/>
    <w:rsid w:val="00F56DCA"/>
    <w:rsid w:val="00F56F09"/>
    <w:rsid w:val="00F571E6"/>
    <w:rsid w:val="00F57248"/>
    <w:rsid w:val="00F574CE"/>
    <w:rsid w:val="00F57582"/>
    <w:rsid w:val="00F5768E"/>
    <w:rsid w:val="00F57795"/>
    <w:rsid w:val="00F57A7F"/>
    <w:rsid w:val="00F57BD5"/>
    <w:rsid w:val="00F60816"/>
    <w:rsid w:val="00F609A7"/>
    <w:rsid w:val="00F60CA8"/>
    <w:rsid w:val="00F60E0F"/>
    <w:rsid w:val="00F61046"/>
    <w:rsid w:val="00F61313"/>
    <w:rsid w:val="00F61585"/>
    <w:rsid w:val="00F61ABA"/>
    <w:rsid w:val="00F61B3A"/>
    <w:rsid w:val="00F62189"/>
    <w:rsid w:val="00F62394"/>
    <w:rsid w:val="00F62EC1"/>
    <w:rsid w:val="00F63409"/>
    <w:rsid w:val="00F63837"/>
    <w:rsid w:val="00F63D87"/>
    <w:rsid w:val="00F63ED5"/>
    <w:rsid w:val="00F647C6"/>
    <w:rsid w:val="00F64E8C"/>
    <w:rsid w:val="00F65167"/>
    <w:rsid w:val="00F659CB"/>
    <w:rsid w:val="00F65C7D"/>
    <w:rsid w:val="00F6664A"/>
    <w:rsid w:val="00F66982"/>
    <w:rsid w:val="00F66C13"/>
    <w:rsid w:val="00F66D74"/>
    <w:rsid w:val="00F67419"/>
    <w:rsid w:val="00F67D67"/>
    <w:rsid w:val="00F708B2"/>
    <w:rsid w:val="00F70B2B"/>
    <w:rsid w:val="00F719E5"/>
    <w:rsid w:val="00F71C83"/>
    <w:rsid w:val="00F7218D"/>
    <w:rsid w:val="00F7234F"/>
    <w:rsid w:val="00F72496"/>
    <w:rsid w:val="00F7279B"/>
    <w:rsid w:val="00F72AFD"/>
    <w:rsid w:val="00F73635"/>
    <w:rsid w:val="00F738B1"/>
    <w:rsid w:val="00F73D0C"/>
    <w:rsid w:val="00F73E87"/>
    <w:rsid w:val="00F74090"/>
    <w:rsid w:val="00F740E8"/>
    <w:rsid w:val="00F749F3"/>
    <w:rsid w:val="00F74CC4"/>
    <w:rsid w:val="00F755D4"/>
    <w:rsid w:val="00F75E24"/>
    <w:rsid w:val="00F75F10"/>
    <w:rsid w:val="00F762CA"/>
    <w:rsid w:val="00F76E52"/>
    <w:rsid w:val="00F76E7A"/>
    <w:rsid w:val="00F76F0A"/>
    <w:rsid w:val="00F770BC"/>
    <w:rsid w:val="00F77BB8"/>
    <w:rsid w:val="00F77CF0"/>
    <w:rsid w:val="00F80143"/>
    <w:rsid w:val="00F801B8"/>
    <w:rsid w:val="00F8045C"/>
    <w:rsid w:val="00F80814"/>
    <w:rsid w:val="00F808EB"/>
    <w:rsid w:val="00F80A8B"/>
    <w:rsid w:val="00F8110D"/>
    <w:rsid w:val="00F8170D"/>
    <w:rsid w:val="00F8197D"/>
    <w:rsid w:val="00F81C9F"/>
    <w:rsid w:val="00F81FA2"/>
    <w:rsid w:val="00F8295A"/>
    <w:rsid w:val="00F8301C"/>
    <w:rsid w:val="00F835E1"/>
    <w:rsid w:val="00F83721"/>
    <w:rsid w:val="00F839E5"/>
    <w:rsid w:val="00F83C56"/>
    <w:rsid w:val="00F83D16"/>
    <w:rsid w:val="00F84275"/>
    <w:rsid w:val="00F842D8"/>
    <w:rsid w:val="00F844A0"/>
    <w:rsid w:val="00F84631"/>
    <w:rsid w:val="00F84BD2"/>
    <w:rsid w:val="00F84DE2"/>
    <w:rsid w:val="00F85173"/>
    <w:rsid w:val="00F851D8"/>
    <w:rsid w:val="00F8547F"/>
    <w:rsid w:val="00F8559A"/>
    <w:rsid w:val="00F8588C"/>
    <w:rsid w:val="00F85A5C"/>
    <w:rsid w:val="00F85A8A"/>
    <w:rsid w:val="00F85B81"/>
    <w:rsid w:val="00F85C07"/>
    <w:rsid w:val="00F85C46"/>
    <w:rsid w:val="00F85F8F"/>
    <w:rsid w:val="00F860E1"/>
    <w:rsid w:val="00F86190"/>
    <w:rsid w:val="00F86572"/>
    <w:rsid w:val="00F866EB"/>
    <w:rsid w:val="00F86CFD"/>
    <w:rsid w:val="00F872E1"/>
    <w:rsid w:val="00F90205"/>
    <w:rsid w:val="00F9037F"/>
    <w:rsid w:val="00F90652"/>
    <w:rsid w:val="00F90698"/>
    <w:rsid w:val="00F90AA9"/>
    <w:rsid w:val="00F90DE4"/>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E3"/>
    <w:rsid w:val="00F93A39"/>
    <w:rsid w:val="00F93F65"/>
    <w:rsid w:val="00F93FED"/>
    <w:rsid w:val="00F94670"/>
    <w:rsid w:val="00F94A88"/>
    <w:rsid w:val="00F94B17"/>
    <w:rsid w:val="00F94D25"/>
    <w:rsid w:val="00F9549D"/>
    <w:rsid w:val="00F95B57"/>
    <w:rsid w:val="00F96029"/>
    <w:rsid w:val="00F961E6"/>
    <w:rsid w:val="00F968DD"/>
    <w:rsid w:val="00F9692A"/>
    <w:rsid w:val="00F96984"/>
    <w:rsid w:val="00F96DD5"/>
    <w:rsid w:val="00F97593"/>
    <w:rsid w:val="00F97687"/>
    <w:rsid w:val="00F976D7"/>
    <w:rsid w:val="00F97AE7"/>
    <w:rsid w:val="00F97F2B"/>
    <w:rsid w:val="00FA02D8"/>
    <w:rsid w:val="00FA089D"/>
    <w:rsid w:val="00FA09A9"/>
    <w:rsid w:val="00FA0FF3"/>
    <w:rsid w:val="00FA10B3"/>
    <w:rsid w:val="00FA1599"/>
    <w:rsid w:val="00FA1602"/>
    <w:rsid w:val="00FA1F69"/>
    <w:rsid w:val="00FA23E5"/>
    <w:rsid w:val="00FA26F4"/>
    <w:rsid w:val="00FA2C6B"/>
    <w:rsid w:val="00FA2F68"/>
    <w:rsid w:val="00FA3145"/>
    <w:rsid w:val="00FA314A"/>
    <w:rsid w:val="00FA3442"/>
    <w:rsid w:val="00FA3F0C"/>
    <w:rsid w:val="00FA41B4"/>
    <w:rsid w:val="00FA490E"/>
    <w:rsid w:val="00FA4A66"/>
    <w:rsid w:val="00FA558A"/>
    <w:rsid w:val="00FA5759"/>
    <w:rsid w:val="00FA6165"/>
    <w:rsid w:val="00FA61F4"/>
    <w:rsid w:val="00FA63D2"/>
    <w:rsid w:val="00FA6542"/>
    <w:rsid w:val="00FA69F3"/>
    <w:rsid w:val="00FA75BF"/>
    <w:rsid w:val="00FA75DD"/>
    <w:rsid w:val="00FA76B6"/>
    <w:rsid w:val="00FB01B0"/>
    <w:rsid w:val="00FB05DD"/>
    <w:rsid w:val="00FB0A3C"/>
    <w:rsid w:val="00FB16A1"/>
    <w:rsid w:val="00FB1B22"/>
    <w:rsid w:val="00FB1DD7"/>
    <w:rsid w:val="00FB1F7F"/>
    <w:rsid w:val="00FB20C8"/>
    <w:rsid w:val="00FB2268"/>
    <w:rsid w:val="00FB2F82"/>
    <w:rsid w:val="00FB2F9D"/>
    <w:rsid w:val="00FB323A"/>
    <w:rsid w:val="00FB33A3"/>
    <w:rsid w:val="00FB389E"/>
    <w:rsid w:val="00FB3DCF"/>
    <w:rsid w:val="00FB3E44"/>
    <w:rsid w:val="00FB3EDB"/>
    <w:rsid w:val="00FB438B"/>
    <w:rsid w:val="00FB56E9"/>
    <w:rsid w:val="00FB6093"/>
    <w:rsid w:val="00FB63D3"/>
    <w:rsid w:val="00FB6795"/>
    <w:rsid w:val="00FB6E93"/>
    <w:rsid w:val="00FB714D"/>
    <w:rsid w:val="00FB744A"/>
    <w:rsid w:val="00FB7A36"/>
    <w:rsid w:val="00FC030F"/>
    <w:rsid w:val="00FC0559"/>
    <w:rsid w:val="00FC0816"/>
    <w:rsid w:val="00FC0B2E"/>
    <w:rsid w:val="00FC0B63"/>
    <w:rsid w:val="00FC1645"/>
    <w:rsid w:val="00FC1AD8"/>
    <w:rsid w:val="00FC1CBA"/>
    <w:rsid w:val="00FC1CF8"/>
    <w:rsid w:val="00FC2079"/>
    <w:rsid w:val="00FC2A3E"/>
    <w:rsid w:val="00FC2CB2"/>
    <w:rsid w:val="00FC2F26"/>
    <w:rsid w:val="00FC38BA"/>
    <w:rsid w:val="00FC3F48"/>
    <w:rsid w:val="00FC3F56"/>
    <w:rsid w:val="00FC46FE"/>
    <w:rsid w:val="00FC48E6"/>
    <w:rsid w:val="00FC4EB1"/>
    <w:rsid w:val="00FC5A23"/>
    <w:rsid w:val="00FC6815"/>
    <w:rsid w:val="00FC714D"/>
    <w:rsid w:val="00FC7300"/>
    <w:rsid w:val="00FC744D"/>
    <w:rsid w:val="00FC7815"/>
    <w:rsid w:val="00FC7BF2"/>
    <w:rsid w:val="00FC7CBB"/>
    <w:rsid w:val="00FC7F4A"/>
    <w:rsid w:val="00FD027B"/>
    <w:rsid w:val="00FD0355"/>
    <w:rsid w:val="00FD0C94"/>
    <w:rsid w:val="00FD1223"/>
    <w:rsid w:val="00FD2020"/>
    <w:rsid w:val="00FD22D7"/>
    <w:rsid w:val="00FD2971"/>
    <w:rsid w:val="00FD29BC"/>
    <w:rsid w:val="00FD2DDF"/>
    <w:rsid w:val="00FD33A1"/>
    <w:rsid w:val="00FD35FC"/>
    <w:rsid w:val="00FD3716"/>
    <w:rsid w:val="00FD4349"/>
    <w:rsid w:val="00FD45C8"/>
    <w:rsid w:val="00FD460B"/>
    <w:rsid w:val="00FD500B"/>
    <w:rsid w:val="00FD562E"/>
    <w:rsid w:val="00FD57D7"/>
    <w:rsid w:val="00FD57F3"/>
    <w:rsid w:val="00FD596D"/>
    <w:rsid w:val="00FD5D12"/>
    <w:rsid w:val="00FD5F10"/>
    <w:rsid w:val="00FD60C5"/>
    <w:rsid w:val="00FD6890"/>
    <w:rsid w:val="00FD6968"/>
    <w:rsid w:val="00FD7375"/>
    <w:rsid w:val="00FD7BFB"/>
    <w:rsid w:val="00FD7EEA"/>
    <w:rsid w:val="00FD7F95"/>
    <w:rsid w:val="00FE000C"/>
    <w:rsid w:val="00FE01C8"/>
    <w:rsid w:val="00FE058E"/>
    <w:rsid w:val="00FE0641"/>
    <w:rsid w:val="00FE0643"/>
    <w:rsid w:val="00FE0B5B"/>
    <w:rsid w:val="00FE179F"/>
    <w:rsid w:val="00FE17DF"/>
    <w:rsid w:val="00FE2108"/>
    <w:rsid w:val="00FE2164"/>
    <w:rsid w:val="00FE2AC1"/>
    <w:rsid w:val="00FE2AED"/>
    <w:rsid w:val="00FE2B09"/>
    <w:rsid w:val="00FE30B7"/>
    <w:rsid w:val="00FE355E"/>
    <w:rsid w:val="00FE369E"/>
    <w:rsid w:val="00FE36B7"/>
    <w:rsid w:val="00FE3A56"/>
    <w:rsid w:val="00FE3BA7"/>
    <w:rsid w:val="00FE3FB9"/>
    <w:rsid w:val="00FE3FE4"/>
    <w:rsid w:val="00FE439A"/>
    <w:rsid w:val="00FE4788"/>
    <w:rsid w:val="00FE54BE"/>
    <w:rsid w:val="00FE5C8A"/>
    <w:rsid w:val="00FE623B"/>
    <w:rsid w:val="00FE688E"/>
    <w:rsid w:val="00FE697D"/>
    <w:rsid w:val="00FE6F1A"/>
    <w:rsid w:val="00FE7736"/>
    <w:rsid w:val="00FF003E"/>
    <w:rsid w:val="00FF0088"/>
    <w:rsid w:val="00FF04BA"/>
    <w:rsid w:val="00FF1158"/>
    <w:rsid w:val="00FF123A"/>
    <w:rsid w:val="00FF1404"/>
    <w:rsid w:val="00FF1429"/>
    <w:rsid w:val="00FF142E"/>
    <w:rsid w:val="00FF1886"/>
    <w:rsid w:val="00FF1E6F"/>
    <w:rsid w:val="00FF278D"/>
    <w:rsid w:val="00FF27B4"/>
    <w:rsid w:val="00FF2BC9"/>
    <w:rsid w:val="00FF2EA0"/>
    <w:rsid w:val="00FF2ECD"/>
    <w:rsid w:val="00FF34FF"/>
    <w:rsid w:val="00FF373B"/>
    <w:rsid w:val="00FF3D42"/>
    <w:rsid w:val="00FF4140"/>
    <w:rsid w:val="00FF41F6"/>
    <w:rsid w:val="00FF422E"/>
    <w:rsid w:val="00FF4700"/>
    <w:rsid w:val="00FF4A6F"/>
    <w:rsid w:val="00FF4AA9"/>
    <w:rsid w:val="00FF4E67"/>
    <w:rsid w:val="00FF5667"/>
    <w:rsid w:val="00FF56C6"/>
    <w:rsid w:val="00FF5DBE"/>
    <w:rsid w:val="00FF5EFD"/>
    <w:rsid w:val="00FF5FEE"/>
    <w:rsid w:val="00FF63DF"/>
    <w:rsid w:val="00FF695E"/>
    <w:rsid w:val="00FF69C9"/>
    <w:rsid w:val="00FF70B0"/>
    <w:rsid w:val="00FF7A87"/>
    <w:rsid w:val="00FF7AA7"/>
    <w:rsid w:val="00FF7B8B"/>
    <w:rsid w:val="00FF7F25"/>
    <w:rsid w:val="01247F28"/>
    <w:rsid w:val="01623DF4"/>
    <w:rsid w:val="0164403D"/>
    <w:rsid w:val="016A2D60"/>
    <w:rsid w:val="0187514E"/>
    <w:rsid w:val="01E376C5"/>
    <w:rsid w:val="01F93655"/>
    <w:rsid w:val="02223535"/>
    <w:rsid w:val="026E0645"/>
    <w:rsid w:val="02AE2102"/>
    <w:rsid w:val="02EB1A31"/>
    <w:rsid w:val="0306050F"/>
    <w:rsid w:val="032832F7"/>
    <w:rsid w:val="03914DF6"/>
    <w:rsid w:val="03B1471C"/>
    <w:rsid w:val="03B97B8A"/>
    <w:rsid w:val="041E195A"/>
    <w:rsid w:val="04447C19"/>
    <w:rsid w:val="0469222B"/>
    <w:rsid w:val="04855E9F"/>
    <w:rsid w:val="04C21F07"/>
    <w:rsid w:val="04CB6EE5"/>
    <w:rsid w:val="04D6453F"/>
    <w:rsid w:val="04E954F9"/>
    <w:rsid w:val="058B1B5A"/>
    <w:rsid w:val="059458BD"/>
    <w:rsid w:val="05B11E5B"/>
    <w:rsid w:val="05BD29B3"/>
    <w:rsid w:val="05EC78F9"/>
    <w:rsid w:val="061A428C"/>
    <w:rsid w:val="06690485"/>
    <w:rsid w:val="068A0138"/>
    <w:rsid w:val="06BD2CCF"/>
    <w:rsid w:val="06D767B9"/>
    <w:rsid w:val="06E441FD"/>
    <w:rsid w:val="06F51DB4"/>
    <w:rsid w:val="0711734E"/>
    <w:rsid w:val="07245592"/>
    <w:rsid w:val="07811C6E"/>
    <w:rsid w:val="080F52AC"/>
    <w:rsid w:val="081437EE"/>
    <w:rsid w:val="08436133"/>
    <w:rsid w:val="086211CC"/>
    <w:rsid w:val="086B53B3"/>
    <w:rsid w:val="08CD1299"/>
    <w:rsid w:val="09324EA3"/>
    <w:rsid w:val="0995770F"/>
    <w:rsid w:val="09A64982"/>
    <w:rsid w:val="09B842C1"/>
    <w:rsid w:val="09B87134"/>
    <w:rsid w:val="09CA74D8"/>
    <w:rsid w:val="09CB088B"/>
    <w:rsid w:val="09EB4E3C"/>
    <w:rsid w:val="09ED10B4"/>
    <w:rsid w:val="09F30681"/>
    <w:rsid w:val="09F35C15"/>
    <w:rsid w:val="0A1039CB"/>
    <w:rsid w:val="0A130914"/>
    <w:rsid w:val="0A284254"/>
    <w:rsid w:val="0A5A0CCD"/>
    <w:rsid w:val="0A5B723D"/>
    <w:rsid w:val="0A99506A"/>
    <w:rsid w:val="0AD03DDD"/>
    <w:rsid w:val="0AEF34AD"/>
    <w:rsid w:val="0B0E0548"/>
    <w:rsid w:val="0B743E22"/>
    <w:rsid w:val="0B952B7C"/>
    <w:rsid w:val="0BB25E0A"/>
    <w:rsid w:val="0BBD3D04"/>
    <w:rsid w:val="0BBE3C20"/>
    <w:rsid w:val="0BFD0200"/>
    <w:rsid w:val="0C29592D"/>
    <w:rsid w:val="0CBA436B"/>
    <w:rsid w:val="0CCC39BF"/>
    <w:rsid w:val="0CDD138A"/>
    <w:rsid w:val="0CE31AFF"/>
    <w:rsid w:val="0CED2DBC"/>
    <w:rsid w:val="0D042712"/>
    <w:rsid w:val="0D175B09"/>
    <w:rsid w:val="0D55085B"/>
    <w:rsid w:val="0D767560"/>
    <w:rsid w:val="0D9C4D64"/>
    <w:rsid w:val="0DDE1DBA"/>
    <w:rsid w:val="0E0F567A"/>
    <w:rsid w:val="0E311C35"/>
    <w:rsid w:val="0E7146DA"/>
    <w:rsid w:val="0E8C5CCB"/>
    <w:rsid w:val="0E8D7FB3"/>
    <w:rsid w:val="0F1A1BAB"/>
    <w:rsid w:val="0F896791"/>
    <w:rsid w:val="0FBD385E"/>
    <w:rsid w:val="0FCC5F2C"/>
    <w:rsid w:val="0FD60E0E"/>
    <w:rsid w:val="0FDD4EEE"/>
    <w:rsid w:val="0FE353A5"/>
    <w:rsid w:val="104E4A64"/>
    <w:rsid w:val="105D13C1"/>
    <w:rsid w:val="10B14313"/>
    <w:rsid w:val="10B776CF"/>
    <w:rsid w:val="10DB0B79"/>
    <w:rsid w:val="1130448C"/>
    <w:rsid w:val="1136212B"/>
    <w:rsid w:val="114617FE"/>
    <w:rsid w:val="11595CDE"/>
    <w:rsid w:val="117A3248"/>
    <w:rsid w:val="11835746"/>
    <w:rsid w:val="11D972EE"/>
    <w:rsid w:val="12085C20"/>
    <w:rsid w:val="123922F2"/>
    <w:rsid w:val="126803A3"/>
    <w:rsid w:val="12724391"/>
    <w:rsid w:val="12E9532A"/>
    <w:rsid w:val="1314693C"/>
    <w:rsid w:val="133505A5"/>
    <w:rsid w:val="1347637A"/>
    <w:rsid w:val="13580386"/>
    <w:rsid w:val="13626F7B"/>
    <w:rsid w:val="13712629"/>
    <w:rsid w:val="137C5099"/>
    <w:rsid w:val="13D8065C"/>
    <w:rsid w:val="142A7D52"/>
    <w:rsid w:val="144F64AA"/>
    <w:rsid w:val="146F1C00"/>
    <w:rsid w:val="14C0438E"/>
    <w:rsid w:val="15174763"/>
    <w:rsid w:val="153322FD"/>
    <w:rsid w:val="15BA22F5"/>
    <w:rsid w:val="15C33508"/>
    <w:rsid w:val="15CB01DE"/>
    <w:rsid w:val="15E36279"/>
    <w:rsid w:val="160A5D29"/>
    <w:rsid w:val="160F2DEB"/>
    <w:rsid w:val="162D44E8"/>
    <w:rsid w:val="16706E10"/>
    <w:rsid w:val="167566A4"/>
    <w:rsid w:val="16883C7E"/>
    <w:rsid w:val="16D46636"/>
    <w:rsid w:val="16EB3239"/>
    <w:rsid w:val="170C14B3"/>
    <w:rsid w:val="173E0E43"/>
    <w:rsid w:val="176647B8"/>
    <w:rsid w:val="1768135A"/>
    <w:rsid w:val="177D428E"/>
    <w:rsid w:val="179D6DFA"/>
    <w:rsid w:val="17CB4230"/>
    <w:rsid w:val="17CF33F8"/>
    <w:rsid w:val="17E04D27"/>
    <w:rsid w:val="180F61DB"/>
    <w:rsid w:val="18373013"/>
    <w:rsid w:val="183F6921"/>
    <w:rsid w:val="184149AC"/>
    <w:rsid w:val="187C410A"/>
    <w:rsid w:val="18A95EE8"/>
    <w:rsid w:val="18CB50F0"/>
    <w:rsid w:val="18F01878"/>
    <w:rsid w:val="19254C43"/>
    <w:rsid w:val="19405B13"/>
    <w:rsid w:val="195D5B4F"/>
    <w:rsid w:val="19813723"/>
    <w:rsid w:val="198F45DD"/>
    <w:rsid w:val="199B72B2"/>
    <w:rsid w:val="19DB75E4"/>
    <w:rsid w:val="19FE163E"/>
    <w:rsid w:val="1A0A2B4C"/>
    <w:rsid w:val="1A1F0F22"/>
    <w:rsid w:val="1A3869CD"/>
    <w:rsid w:val="1A5F0B47"/>
    <w:rsid w:val="1AA26902"/>
    <w:rsid w:val="1AAA1F84"/>
    <w:rsid w:val="1AB00207"/>
    <w:rsid w:val="1ABE7D37"/>
    <w:rsid w:val="1AC1475C"/>
    <w:rsid w:val="1ADD0D46"/>
    <w:rsid w:val="1B1B27AF"/>
    <w:rsid w:val="1B6B406D"/>
    <w:rsid w:val="1C215368"/>
    <w:rsid w:val="1C496310"/>
    <w:rsid w:val="1C5D4224"/>
    <w:rsid w:val="1C5E1E39"/>
    <w:rsid w:val="1C856B73"/>
    <w:rsid w:val="1CD84E90"/>
    <w:rsid w:val="1D185D6A"/>
    <w:rsid w:val="1D296EF5"/>
    <w:rsid w:val="1D6D1D09"/>
    <w:rsid w:val="1D804F80"/>
    <w:rsid w:val="1DA958F6"/>
    <w:rsid w:val="1DE6752F"/>
    <w:rsid w:val="1E013264"/>
    <w:rsid w:val="1E1C765A"/>
    <w:rsid w:val="1E2F3E70"/>
    <w:rsid w:val="1E335389"/>
    <w:rsid w:val="1E740F0D"/>
    <w:rsid w:val="1EA36749"/>
    <w:rsid w:val="1EDE3E4D"/>
    <w:rsid w:val="1F0C25D9"/>
    <w:rsid w:val="1F334F71"/>
    <w:rsid w:val="1F354DB1"/>
    <w:rsid w:val="1F7F1019"/>
    <w:rsid w:val="1F843DE6"/>
    <w:rsid w:val="1F9675F9"/>
    <w:rsid w:val="1FF037A6"/>
    <w:rsid w:val="1FF51C68"/>
    <w:rsid w:val="1FF72138"/>
    <w:rsid w:val="205516BE"/>
    <w:rsid w:val="205965D9"/>
    <w:rsid w:val="208166FD"/>
    <w:rsid w:val="208D640A"/>
    <w:rsid w:val="209E0CEA"/>
    <w:rsid w:val="213B5CD2"/>
    <w:rsid w:val="216D33DF"/>
    <w:rsid w:val="21E23CAE"/>
    <w:rsid w:val="220D5A08"/>
    <w:rsid w:val="227E095F"/>
    <w:rsid w:val="2282657C"/>
    <w:rsid w:val="22A129F3"/>
    <w:rsid w:val="22E813E0"/>
    <w:rsid w:val="22FB1635"/>
    <w:rsid w:val="230C6400"/>
    <w:rsid w:val="231C4810"/>
    <w:rsid w:val="236A5E11"/>
    <w:rsid w:val="236B587B"/>
    <w:rsid w:val="237960DC"/>
    <w:rsid w:val="23A15217"/>
    <w:rsid w:val="23AD60D7"/>
    <w:rsid w:val="23BA4644"/>
    <w:rsid w:val="23C26CFC"/>
    <w:rsid w:val="23E16126"/>
    <w:rsid w:val="23E43A80"/>
    <w:rsid w:val="23F47757"/>
    <w:rsid w:val="24071708"/>
    <w:rsid w:val="24155192"/>
    <w:rsid w:val="245743B5"/>
    <w:rsid w:val="247221DF"/>
    <w:rsid w:val="247513E0"/>
    <w:rsid w:val="249A087B"/>
    <w:rsid w:val="24AD6222"/>
    <w:rsid w:val="24CD4542"/>
    <w:rsid w:val="254B68E4"/>
    <w:rsid w:val="25B81417"/>
    <w:rsid w:val="25BB704A"/>
    <w:rsid w:val="25EA4351"/>
    <w:rsid w:val="25FE407C"/>
    <w:rsid w:val="2638094F"/>
    <w:rsid w:val="263B466F"/>
    <w:rsid w:val="263E0EAC"/>
    <w:rsid w:val="26894387"/>
    <w:rsid w:val="26D4632B"/>
    <w:rsid w:val="271E24C5"/>
    <w:rsid w:val="27442A58"/>
    <w:rsid w:val="27AA1A6C"/>
    <w:rsid w:val="28425FD1"/>
    <w:rsid w:val="28840AAD"/>
    <w:rsid w:val="28906E3E"/>
    <w:rsid w:val="2894645E"/>
    <w:rsid w:val="28954ED3"/>
    <w:rsid w:val="28B52071"/>
    <w:rsid w:val="28C61782"/>
    <w:rsid w:val="290B5205"/>
    <w:rsid w:val="29835B48"/>
    <w:rsid w:val="29937C67"/>
    <w:rsid w:val="29C36304"/>
    <w:rsid w:val="29F15A0B"/>
    <w:rsid w:val="29F2088E"/>
    <w:rsid w:val="2A1B6F47"/>
    <w:rsid w:val="2A2C7B7A"/>
    <w:rsid w:val="2A3D494E"/>
    <w:rsid w:val="2A487BBD"/>
    <w:rsid w:val="2A4952D5"/>
    <w:rsid w:val="2A5A3D32"/>
    <w:rsid w:val="2AAF7102"/>
    <w:rsid w:val="2ABB0892"/>
    <w:rsid w:val="2ADA009F"/>
    <w:rsid w:val="2AEB310F"/>
    <w:rsid w:val="2B0428DA"/>
    <w:rsid w:val="2B1161F7"/>
    <w:rsid w:val="2B492FF2"/>
    <w:rsid w:val="2B591778"/>
    <w:rsid w:val="2B6E6585"/>
    <w:rsid w:val="2B852E10"/>
    <w:rsid w:val="2BB52FB9"/>
    <w:rsid w:val="2BBD31DA"/>
    <w:rsid w:val="2BE613B7"/>
    <w:rsid w:val="2C147232"/>
    <w:rsid w:val="2C693C27"/>
    <w:rsid w:val="2C8E0B5F"/>
    <w:rsid w:val="2C963FFD"/>
    <w:rsid w:val="2C9D5806"/>
    <w:rsid w:val="2CAC7E5C"/>
    <w:rsid w:val="2CDA6659"/>
    <w:rsid w:val="2CDE5A7A"/>
    <w:rsid w:val="2CF078D2"/>
    <w:rsid w:val="2CF916FA"/>
    <w:rsid w:val="2CF95115"/>
    <w:rsid w:val="2D093C9F"/>
    <w:rsid w:val="2D1B1B33"/>
    <w:rsid w:val="2D3B7916"/>
    <w:rsid w:val="2D3C3CD7"/>
    <w:rsid w:val="2DB10B97"/>
    <w:rsid w:val="2DB600C3"/>
    <w:rsid w:val="2DEB07BF"/>
    <w:rsid w:val="2E0715D6"/>
    <w:rsid w:val="2E173F56"/>
    <w:rsid w:val="2E36004C"/>
    <w:rsid w:val="2E48670E"/>
    <w:rsid w:val="2ECF3457"/>
    <w:rsid w:val="2EEF5957"/>
    <w:rsid w:val="2F1F4948"/>
    <w:rsid w:val="2F341996"/>
    <w:rsid w:val="2FA97745"/>
    <w:rsid w:val="2FFB5947"/>
    <w:rsid w:val="300563D4"/>
    <w:rsid w:val="30566E0B"/>
    <w:rsid w:val="306C4308"/>
    <w:rsid w:val="307160DC"/>
    <w:rsid w:val="30D51F7C"/>
    <w:rsid w:val="30EC4B0C"/>
    <w:rsid w:val="30ED594E"/>
    <w:rsid w:val="311D6372"/>
    <w:rsid w:val="31240EC0"/>
    <w:rsid w:val="3124686A"/>
    <w:rsid w:val="31640971"/>
    <w:rsid w:val="317C2DC5"/>
    <w:rsid w:val="317D615F"/>
    <w:rsid w:val="31CE7F2B"/>
    <w:rsid w:val="31F435B2"/>
    <w:rsid w:val="3200079B"/>
    <w:rsid w:val="323D35EB"/>
    <w:rsid w:val="32585128"/>
    <w:rsid w:val="32851DD7"/>
    <w:rsid w:val="328A68CA"/>
    <w:rsid w:val="32D83018"/>
    <w:rsid w:val="32F90691"/>
    <w:rsid w:val="33774D25"/>
    <w:rsid w:val="33841A7F"/>
    <w:rsid w:val="33965837"/>
    <w:rsid w:val="33AA50E6"/>
    <w:rsid w:val="33B43DDB"/>
    <w:rsid w:val="34022462"/>
    <w:rsid w:val="34162354"/>
    <w:rsid w:val="3421519F"/>
    <w:rsid w:val="34561EE4"/>
    <w:rsid w:val="3479036A"/>
    <w:rsid w:val="348C273F"/>
    <w:rsid w:val="34942631"/>
    <w:rsid w:val="34995AD7"/>
    <w:rsid w:val="34C31F31"/>
    <w:rsid w:val="34E010CD"/>
    <w:rsid w:val="34E32054"/>
    <w:rsid w:val="34FF1701"/>
    <w:rsid w:val="3522430E"/>
    <w:rsid w:val="352E0F08"/>
    <w:rsid w:val="35811005"/>
    <w:rsid w:val="35F72C7E"/>
    <w:rsid w:val="35FF1ADE"/>
    <w:rsid w:val="360258DD"/>
    <w:rsid w:val="361E456B"/>
    <w:rsid w:val="362D5ECB"/>
    <w:rsid w:val="364044BF"/>
    <w:rsid w:val="366339B0"/>
    <w:rsid w:val="366B0825"/>
    <w:rsid w:val="36AF6E3D"/>
    <w:rsid w:val="36D53214"/>
    <w:rsid w:val="37064D4E"/>
    <w:rsid w:val="37B77F1A"/>
    <w:rsid w:val="38001947"/>
    <w:rsid w:val="390F4628"/>
    <w:rsid w:val="39315B32"/>
    <w:rsid w:val="395B4D61"/>
    <w:rsid w:val="396E5092"/>
    <w:rsid w:val="39EA01C2"/>
    <w:rsid w:val="3A2071EB"/>
    <w:rsid w:val="3A39104D"/>
    <w:rsid w:val="3A704B01"/>
    <w:rsid w:val="3A9E48B4"/>
    <w:rsid w:val="3AA66471"/>
    <w:rsid w:val="3AEA276D"/>
    <w:rsid w:val="3B2F2682"/>
    <w:rsid w:val="3B3165C4"/>
    <w:rsid w:val="3B5573A4"/>
    <w:rsid w:val="3B6B0E42"/>
    <w:rsid w:val="3BE15BDA"/>
    <w:rsid w:val="3C1B340D"/>
    <w:rsid w:val="3C256FCE"/>
    <w:rsid w:val="3C8B2C9C"/>
    <w:rsid w:val="3C983BA7"/>
    <w:rsid w:val="3CA63B84"/>
    <w:rsid w:val="3D8F09F2"/>
    <w:rsid w:val="3D993C58"/>
    <w:rsid w:val="3DC13DCB"/>
    <w:rsid w:val="3DC34729"/>
    <w:rsid w:val="3DE9747B"/>
    <w:rsid w:val="3E4C0818"/>
    <w:rsid w:val="3E732338"/>
    <w:rsid w:val="3E7E3415"/>
    <w:rsid w:val="3EB337CD"/>
    <w:rsid w:val="3EC46393"/>
    <w:rsid w:val="3ECE2BEE"/>
    <w:rsid w:val="3F856C8C"/>
    <w:rsid w:val="3F876778"/>
    <w:rsid w:val="3FCA54FF"/>
    <w:rsid w:val="40053AEF"/>
    <w:rsid w:val="400657B5"/>
    <w:rsid w:val="4012006B"/>
    <w:rsid w:val="40474563"/>
    <w:rsid w:val="40553E07"/>
    <w:rsid w:val="406F7959"/>
    <w:rsid w:val="40B1111B"/>
    <w:rsid w:val="40BD4B46"/>
    <w:rsid w:val="40C006C3"/>
    <w:rsid w:val="40DF1F6C"/>
    <w:rsid w:val="41303D3A"/>
    <w:rsid w:val="414B0D5D"/>
    <w:rsid w:val="417F4D9D"/>
    <w:rsid w:val="41835BAC"/>
    <w:rsid w:val="419068A2"/>
    <w:rsid w:val="4192041B"/>
    <w:rsid w:val="41A50E7A"/>
    <w:rsid w:val="41BD079D"/>
    <w:rsid w:val="42185649"/>
    <w:rsid w:val="42207B94"/>
    <w:rsid w:val="422A2151"/>
    <w:rsid w:val="424E280C"/>
    <w:rsid w:val="426A5969"/>
    <w:rsid w:val="4281684C"/>
    <w:rsid w:val="42C366DD"/>
    <w:rsid w:val="43734926"/>
    <w:rsid w:val="43A632D7"/>
    <w:rsid w:val="43AE32C9"/>
    <w:rsid w:val="43BA6D47"/>
    <w:rsid w:val="43C90329"/>
    <w:rsid w:val="43E64688"/>
    <w:rsid w:val="43ED13E7"/>
    <w:rsid w:val="43ED353C"/>
    <w:rsid w:val="43F15ABD"/>
    <w:rsid w:val="4417132F"/>
    <w:rsid w:val="44405482"/>
    <w:rsid w:val="446028B5"/>
    <w:rsid w:val="4496142D"/>
    <w:rsid w:val="449A4F29"/>
    <w:rsid w:val="44C21817"/>
    <w:rsid w:val="45915F0A"/>
    <w:rsid w:val="45D47576"/>
    <w:rsid w:val="45DF3C7E"/>
    <w:rsid w:val="463A23EA"/>
    <w:rsid w:val="46661936"/>
    <w:rsid w:val="46E52D55"/>
    <w:rsid w:val="470A789B"/>
    <w:rsid w:val="473D0F93"/>
    <w:rsid w:val="476139E2"/>
    <w:rsid w:val="47652B4A"/>
    <w:rsid w:val="47BF2FE6"/>
    <w:rsid w:val="47DA45F5"/>
    <w:rsid w:val="48363D2A"/>
    <w:rsid w:val="48547FF8"/>
    <w:rsid w:val="487868EC"/>
    <w:rsid w:val="48A70052"/>
    <w:rsid w:val="48BA7453"/>
    <w:rsid w:val="492249D4"/>
    <w:rsid w:val="492941E4"/>
    <w:rsid w:val="49661B03"/>
    <w:rsid w:val="49AD07BA"/>
    <w:rsid w:val="4A0B1B0D"/>
    <w:rsid w:val="4A2328EA"/>
    <w:rsid w:val="4A787F9A"/>
    <w:rsid w:val="4A9C6D87"/>
    <w:rsid w:val="4AAE4AF0"/>
    <w:rsid w:val="4AC45213"/>
    <w:rsid w:val="4AD87C0B"/>
    <w:rsid w:val="4B0E4872"/>
    <w:rsid w:val="4B1552CA"/>
    <w:rsid w:val="4B473C06"/>
    <w:rsid w:val="4B573495"/>
    <w:rsid w:val="4B5A3F42"/>
    <w:rsid w:val="4B6657BF"/>
    <w:rsid w:val="4B801B9C"/>
    <w:rsid w:val="4B892A61"/>
    <w:rsid w:val="4B8F1AD2"/>
    <w:rsid w:val="4BBC48B1"/>
    <w:rsid w:val="4BD923A6"/>
    <w:rsid w:val="4BDC085E"/>
    <w:rsid w:val="4BF91049"/>
    <w:rsid w:val="4C1D24E0"/>
    <w:rsid w:val="4C233CD3"/>
    <w:rsid w:val="4C324360"/>
    <w:rsid w:val="4C3A5AD2"/>
    <w:rsid w:val="4C7C5DB6"/>
    <w:rsid w:val="4CA31D2A"/>
    <w:rsid w:val="4CD2257B"/>
    <w:rsid w:val="4CD4605E"/>
    <w:rsid w:val="4D6A6093"/>
    <w:rsid w:val="4D6F1420"/>
    <w:rsid w:val="4DF7667D"/>
    <w:rsid w:val="4E1A71B3"/>
    <w:rsid w:val="4E245182"/>
    <w:rsid w:val="4E7B36E9"/>
    <w:rsid w:val="4EAC5886"/>
    <w:rsid w:val="4ECB786C"/>
    <w:rsid w:val="4ED4056B"/>
    <w:rsid w:val="4F0B72FE"/>
    <w:rsid w:val="4F1D371F"/>
    <w:rsid w:val="4F22406F"/>
    <w:rsid w:val="4F572D9B"/>
    <w:rsid w:val="4F855F30"/>
    <w:rsid w:val="4F891F33"/>
    <w:rsid w:val="4F8D46D4"/>
    <w:rsid w:val="4FC37AD4"/>
    <w:rsid w:val="4FF6779A"/>
    <w:rsid w:val="50142239"/>
    <w:rsid w:val="502E379C"/>
    <w:rsid w:val="50402D59"/>
    <w:rsid w:val="50CD18F3"/>
    <w:rsid w:val="50DA2806"/>
    <w:rsid w:val="50E21BB2"/>
    <w:rsid w:val="50E908DE"/>
    <w:rsid w:val="512011FD"/>
    <w:rsid w:val="512F439E"/>
    <w:rsid w:val="515A1CDE"/>
    <w:rsid w:val="5175467C"/>
    <w:rsid w:val="518B3E8F"/>
    <w:rsid w:val="519B1B13"/>
    <w:rsid w:val="51C5430D"/>
    <w:rsid w:val="51C96161"/>
    <w:rsid w:val="51F24FE3"/>
    <w:rsid w:val="52040985"/>
    <w:rsid w:val="52185C71"/>
    <w:rsid w:val="523A7757"/>
    <w:rsid w:val="52582D49"/>
    <w:rsid w:val="526C1D2D"/>
    <w:rsid w:val="5292758F"/>
    <w:rsid w:val="52DC3977"/>
    <w:rsid w:val="52E23AEE"/>
    <w:rsid w:val="53015C6B"/>
    <w:rsid w:val="53081056"/>
    <w:rsid w:val="532C7C1D"/>
    <w:rsid w:val="5358066D"/>
    <w:rsid w:val="53744B4F"/>
    <w:rsid w:val="53884F66"/>
    <w:rsid w:val="53CD37DD"/>
    <w:rsid w:val="53D526A0"/>
    <w:rsid w:val="53E14982"/>
    <w:rsid w:val="53E62826"/>
    <w:rsid w:val="5424586C"/>
    <w:rsid w:val="548D35BB"/>
    <w:rsid w:val="549778BD"/>
    <w:rsid w:val="54A74548"/>
    <w:rsid w:val="54C136A7"/>
    <w:rsid w:val="54C15751"/>
    <w:rsid w:val="552C0336"/>
    <w:rsid w:val="554124AE"/>
    <w:rsid w:val="55855731"/>
    <w:rsid w:val="55D65368"/>
    <w:rsid w:val="55DA3793"/>
    <w:rsid w:val="55EA6E29"/>
    <w:rsid w:val="564659C3"/>
    <w:rsid w:val="565C5CE0"/>
    <w:rsid w:val="56636EF2"/>
    <w:rsid w:val="56973E60"/>
    <w:rsid w:val="569E0626"/>
    <w:rsid w:val="56E2460C"/>
    <w:rsid w:val="56EA5543"/>
    <w:rsid w:val="56F41F92"/>
    <w:rsid w:val="573408EA"/>
    <w:rsid w:val="57895448"/>
    <w:rsid w:val="57960862"/>
    <w:rsid w:val="57AE10AD"/>
    <w:rsid w:val="57BC4C9C"/>
    <w:rsid w:val="593123F4"/>
    <w:rsid w:val="594475B9"/>
    <w:rsid w:val="5957181C"/>
    <w:rsid w:val="5993415C"/>
    <w:rsid w:val="59A81B2F"/>
    <w:rsid w:val="59D27A71"/>
    <w:rsid w:val="59D51C1B"/>
    <w:rsid w:val="5A056BFD"/>
    <w:rsid w:val="5A702CA7"/>
    <w:rsid w:val="5AA97954"/>
    <w:rsid w:val="5AC04993"/>
    <w:rsid w:val="5AC703B1"/>
    <w:rsid w:val="5AF406D6"/>
    <w:rsid w:val="5B886A6B"/>
    <w:rsid w:val="5B9073BF"/>
    <w:rsid w:val="5B9668E2"/>
    <w:rsid w:val="5BD45145"/>
    <w:rsid w:val="5BF749D7"/>
    <w:rsid w:val="5C6F6A08"/>
    <w:rsid w:val="5CBC4995"/>
    <w:rsid w:val="5D0513F5"/>
    <w:rsid w:val="5D1A5393"/>
    <w:rsid w:val="5DCF4070"/>
    <w:rsid w:val="5DD45B7B"/>
    <w:rsid w:val="5DF9398D"/>
    <w:rsid w:val="5E095FD6"/>
    <w:rsid w:val="5E5D258D"/>
    <w:rsid w:val="5E6704E7"/>
    <w:rsid w:val="5E7E3F64"/>
    <w:rsid w:val="5E821D61"/>
    <w:rsid w:val="5EA209B1"/>
    <w:rsid w:val="5F25133A"/>
    <w:rsid w:val="5F25432A"/>
    <w:rsid w:val="5FCE51B0"/>
    <w:rsid w:val="5FD73269"/>
    <w:rsid w:val="5FF955B8"/>
    <w:rsid w:val="601F77D9"/>
    <w:rsid w:val="60280B93"/>
    <w:rsid w:val="604E6B79"/>
    <w:rsid w:val="606A4DD2"/>
    <w:rsid w:val="608224E7"/>
    <w:rsid w:val="60E174E9"/>
    <w:rsid w:val="60F11ACC"/>
    <w:rsid w:val="610B26BE"/>
    <w:rsid w:val="612C5573"/>
    <w:rsid w:val="61415E1E"/>
    <w:rsid w:val="61490EC4"/>
    <w:rsid w:val="616D3845"/>
    <w:rsid w:val="618E64FB"/>
    <w:rsid w:val="619706BD"/>
    <w:rsid w:val="61AC59A0"/>
    <w:rsid w:val="61B92923"/>
    <w:rsid w:val="61E345E0"/>
    <w:rsid w:val="61F01DEE"/>
    <w:rsid w:val="61FF6957"/>
    <w:rsid w:val="62095C8A"/>
    <w:rsid w:val="621260FD"/>
    <w:rsid w:val="62262A28"/>
    <w:rsid w:val="62323A92"/>
    <w:rsid w:val="626B6B7B"/>
    <w:rsid w:val="62735C4D"/>
    <w:rsid w:val="62A20F7F"/>
    <w:rsid w:val="62A26D46"/>
    <w:rsid w:val="62A400F4"/>
    <w:rsid w:val="62C45031"/>
    <w:rsid w:val="62CB340F"/>
    <w:rsid w:val="62D40767"/>
    <w:rsid w:val="62ED19E1"/>
    <w:rsid w:val="62F3067B"/>
    <w:rsid w:val="62F52B28"/>
    <w:rsid w:val="63005C1B"/>
    <w:rsid w:val="631E4A5A"/>
    <w:rsid w:val="633356A8"/>
    <w:rsid w:val="63D1219F"/>
    <w:rsid w:val="6403179D"/>
    <w:rsid w:val="64482382"/>
    <w:rsid w:val="64515ABF"/>
    <w:rsid w:val="647841EA"/>
    <w:rsid w:val="6482448D"/>
    <w:rsid w:val="64D27E30"/>
    <w:rsid w:val="65025C93"/>
    <w:rsid w:val="65125EED"/>
    <w:rsid w:val="654950EA"/>
    <w:rsid w:val="655C66E5"/>
    <w:rsid w:val="658F5827"/>
    <w:rsid w:val="65A258EE"/>
    <w:rsid w:val="66210722"/>
    <w:rsid w:val="66437915"/>
    <w:rsid w:val="66AA76F2"/>
    <w:rsid w:val="66D05609"/>
    <w:rsid w:val="66D3237B"/>
    <w:rsid w:val="66E71606"/>
    <w:rsid w:val="67166EC5"/>
    <w:rsid w:val="67210094"/>
    <w:rsid w:val="67336828"/>
    <w:rsid w:val="673F1301"/>
    <w:rsid w:val="675E1C55"/>
    <w:rsid w:val="676A31F2"/>
    <w:rsid w:val="67712305"/>
    <w:rsid w:val="67736FEC"/>
    <w:rsid w:val="679223C5"/>
    <w:rsid w:val="67AA35E9"/>
    <w:rsid w:val="67EC2A68"/>
    <w:rsid w:val="68592842"/>
    <w:rsid w:val="686167C2"/>
    <w:rsid w:val="687B2943"/>
    <w:rsid w:val="6883200C"/>
    <w:rsid w:val="689265B7"/>
    <w:rsid w:val="689E6169"/>
    <w:rsid w:val="68A012E7"/>
    <w:rsid w:val="68C107A0"/>
    <w:rsid w:val="69545358"/>
    <w:rsid w:val="698A51F6"/>
    <w:rsid w:val="698A76FD"/>
    <w:rsid w:val="699957CD"/>
    <w:rsid w:val="69D54202"/>
    <w:rsid w:val="69DA5F5C"/>
    <w:rsid w:val="69F6462C"/>
    <w:rsid w:val="6A417AA1"/>
    <w:rsid w:val="6A4B5A60"/>
    <w:rsid w:val="6A7F581D"/>
    <w:rsid w:val="6A9A08C6"/>
    <w:rsid w:val="6ABD20F1"/>
    <w:rsid w:val="6AF808BE"/>
    <w:rsid w:val="6AFE540C"/>
    <w:rsid w:val="6B015D35"/>
    <w:rsid w:val="6B200B90"/>
    <w:rsid w:val="6B3F0BA9"/>
    <w:rsid w:val="6B474827"/>
    <w:rsid w:val="6B511BD5"/>
    <w:rsid w:val="6B6E1603"/>
    <w:rsid w:val="6B7211DE"/>
    <w:rsid w:val="6B733E20"/>
    <w:rsid w:val="6BAC63E0"/>
    <w:rsid w:val="6BB66D0F"/>
    <w:rsid w:val="6C1E3605"/>
    <w:rsid w:val="6C8E04D6"/>
    <w:rsid w:val="6CA2751B"/>
    <w:rsid w:val="6CB61EDC"/>
    <w:rsid w:val="6D1839B1"/>
    <w:rsid w:val="6D54452B"/>
    <w:rsid w:val="6D5C0837"/>
    <w:rsid w:val="6D6055A3"/>
    <w:rsid w:val="6DBE1290"/>
    <w:rsid w:val="6DDC7F86"/>
    <w:rsid w:val="6E0D26AB"/>
    <w:rsid w:val="6E3B3401"/>
    <w:rsid w:val="6E3E10DC"/>
    <w:rsid w:val="6EBD577A"/>
    <w:rsid w:val="6EE558A8"/>
    <w:rsid w:val="6F1C2241"/>
    <w:rsid w:val="6F2D3E96"/>
    <w:rsid w:val="6F713E95"/>
    <w:rsid w:val="6F7B76F7"/>
    <w:rsid w:val="6F83000E"/>
    <w:rsid w:val="703B3BFC"/>
    <w:rsid w:val="70456902"/>
    <w:rsid w:val="704E6B13"/>
    <w:rsid w:val="70984A9D"/>
    <w:rsid w:val="70B97F01"/>
    <w:rsid w:val="70FD19B1"/>
    <w:rsid w:val="714C61F5"/>
    <w:rsid w:val="715E244A"/>
    <w:rsid w:val="71BF0E37"/>
    <w:rsid w:val="71F202C2"/>
    <w:rsid w:val="72B56EEF"/>
    <w:rsid w:val="72DB254B"/>
    <w:rsid w:val="72DE1017"/>
    <w:rsid w:val="730F65B9"/>
    <w:rsid w:val="73445DCA"/>
    <w:rsid w:val="73566852"/>
    <w:rsid w:val="73797A10"/>
    <w:rsid w:val="7413358A"/>
    <w:rsid w:val="741E1946"/>
    <w:rsid w:val="746E42F6"/>
    <w:rsid w:val="74860E62"/>
    <w:rsid w:val="74880036"/>
    <w:rsid w:val="74963132"/>
    <w:rsid w:val="74CD27B7"/>
    <w:rsid w:val="74E124F8"/>
    <w:rsid w:val="750220D2"/>
    <w:rsid w:val="750D4773"/>
    <w:rsid w:val="7548473E"/>
    <w:rsid w:val="75666FB1"/>
    <w:rsid w:val="756675FA"/>
    <w:rsid w:val="757A6592"/>
    <w:rsid w:val="757E70E6"/>
    <w:rsid w:val="75D42472"/>
    <w:rsid w:val="75D50149"/>
    <w:rsid w:val="75E609D5"/>
    <w:rsid w:val="76277A41"/>
    <w:rsid w:val="763E7DAB"/>
    <w:rsid w:val="76617C75"/>
    <w:rsid w:val="767E34F8"/>
    <w:rsid w:val="76DB1F5D"/>
    <w:rsid w:val="772D5858"/>
    <w:rsid w:val="77453DDC"/>
    <w:rsid w:val="77784943"/>
    <w:rsid w:val="77787755"/>
    <w:rsid w:val="778A0D23"/>
    <w:rsid w:val="77A05274"/>
    <w:rsid w:val="77AF0451"/>
    <w:rsid w:val="77CA7BAA"/>
    <w:rsid w:val="781864EA"/>
    <w:rsid w:val="782D7D2B"/>
    <w:rsid w:val="783915FE"/>
    <w:rsid w:val="78705AFA"/>
    <w:rsid w:val="78C54FC9"/>
    <w:rsid w:val="78E439FC"/>
    <w:rsid w:val="78EE6681"/>
    <w:rsid w:val="78FF6B3A"/>
    <w:rsid w:val="79100A4F"/>
    <w:rsid w:val="791453EC"/>
    <w:rsid w:val="792623CF"/>
    <w:rsid w:val="793877D8"/>
    <w:rsid w:val="79884AE9"/>
    <w:rsid w:val="79EE23A8"/>
    <w:rsid w:val="7A072E1B"/>
    <w:rsid w:val="7A0F12E6"/>
    <w:rsid w:val="7A443267"/>
    <w:rsid w:val="7A6C0BA8"/>
    <w:rsid w:val="7A824C3A"/>
    <w:rsid w:val="7AC16DC2"/>
    <w:rsid w:val="7AF12739"/>
    <w:rsid w:val="7B022868"/>
    <w:rsid w:val="7B3103E1"/>
    <w:rsid w:val="7B51571F"/>
    <w:rsid w:val="7B7E5459"/>
    <w:rsid w:val="7BA40FFB"/>
    <w:rsid w:val="7BB8027E"/>
    <w:rsid w:val="7BC7231A"/>
    <w:rsid w:val="7BEA7F06"/>
    <w:rsid w:val="7BEB15BF"/>
    <w:rsid w:val="7C1576DC"/>
    <w:rsid w:val="7C461BA7"/>
    <w:rsid w:val="7C593BEF"/>
    <w:rsid w:val="7C6F7A0C"/>
    <w:rsid w:val="7C730D95"/>
    <w:rsid w:val="7C811ABB"/>
    <w:rsid w:val="7C8D2C99"/>
    <w:rsid w:val="7C9C0220"/>
    <w:rsid w:val="7D0A7C90"/>
    <w:rsid w:val="7D2C698E"/>
    <w:rsid w:val="7D6E5376"/>
    <w:rsid w:val="7D9E0355"/>
    <w:rsid w:val="7D9F45CF"/>
    <w:rsid w:val="7DC51FB6"/>
    <w:rsid w:val="7DE03C2C"/>
    <w:rsid w:val="7DFF7FDA"/>
    <w:rsid w:val="7E3C48CF"/>
    <w:rsid w:val="7E411EF5"/>
    <w:rsid w:val="7E43770C"/>
    <w:rsid w:val="7E5346B8"/>
    <w:rsid w:val="7E6B6C8A"/>
    <w:rsid w:val="7E6B77EA"/>
    <w:rsid w:val="7E8C186F"/>
    <w:rsid w:val="7EAC6168"/>
    <w:rsid w:val="7EBD3B2B"/>
    <w:rsid w:val="7EC218D0"/>
    <w:rsid w:val="7EE34D80"/>
    <w:rsid w:val="7EEF34CE"/>
    <w:rsid w:val="7EF21537"/>
    <w:rsid w:val="7EFC093A"/>
    <w:rsid w:val="7EFF2BDC"/>
    <w:rsid w:val="7F095CDC"/>
    <w:rsid w:val="7F423106"/>
    <w:rsid w:val="7F72403E"/>
    <w:rsid w:val="7F734F41"/>
    <w:rsid w:val="7F7B1610"/>
    <w:rsid w:val="7FA44F8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qFormat="1" w:uiPriority="99" w:semiHidden="0" w:name="footnote text"/>
    <w:lsdException w:qFormat="1" w:uiPriority="0" w:semiHidden="0" w:name="annotation text"/>
    <w:lsdException w:qFormat="1" w:unhideWhenUsed="0" w:uiPriority="0"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iPriority="99" w:semiHidden="0"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76" w:lineRule="auto"/>
      <w:jc w:val="both"/>
      <w:textAlignment w:val="baseline"/>
    </w:pPr>
    <w:rPr>
      <w:rFonts w:ascii="Times New Roman" w:hAnsi="Times New Roman" w:eastAsia="Times New Roman" w:cs="Times New Roman"/>
      <w:lang w:val="en-GB" w:eastAsia="en-US" w:bidi="ar-SA"/>
    </w:rPr>
  </w:style>
  <w:style w:type="paragraph" w:styleId="2">
    <w:name w:val="heading 1"/>
    <w:basedOn w:val="1"/>
    <w:next w:val="1"/>
    <w:link w:val="40"/>
    <w:qFormat/>
    <w:uiPriority w:val="0"/>
    <w:pPr>
      <w:keepNext/>
      <w:keepLines/>
      <w:numPr>
        <w:ilvl w:val="0"/>
        <w:numId w:val="1"/>
      </w:numPr>
      <w:pBdr>
        <w:top w:val="single" w:color="auto" w:sz="12" w:space="3"/>
      </w:pBdr>
      <w:tabs>
        <w:tab w:val="left" w:pos="432"/>
      </w:tabs>
      <w:spacing w:beforeLines="50" w:after="120"/>
      <w:outlineLvl w:val="0"/>
    </w:pPr>
    <w:rPr>
      <w:rFonts w:ascii="Arial" w:hAnsi="Arial" w:eastAsia="宋体"/>
      <w:sz w:val="28"/>
      <w:szCs w:val="22"/>
      <w:lang w:eastAsia="zh-CN"/>
    </w:rPr>
  </w:style>
  <w:style w:type="paragraph" w:styleId="3">
    <w:name w:val="heading 2"/>
    <w:basedOn w:val="1"/>
    <w:next w:val="1"/>
    <w:qFormat/>
    <w:uiPriority w:val="0"/>
    <w:pPr>
      <w:tabs>
        <w:tab w:val="left" w:pos="576"/>
      </w:tabs>
      <w:spacing w:before="240" w:after="60"/>
      <w:ind w:left="576" w:hanging="576"/>
      <w:outlineLvl w:val="1"/>
    </w:pPr>
    <w:rPr>
      <w:rFonts w:cs="Arial"/>
      <w:bCs/>
      <w:iCs/>
      <w:szCs w:val="28"/>
      <w:lang w:val="en-US"/>
    </w:rPr>
  </w:style>
  <w:style w:type="paragraph" w:styleId="4">
    <w:name w:val="heading 3"/>
    <w:basedOn w:val="1"/>
    <w:next w:val="1"/>
    <w:qFormat/>
    <w:uiPriority w:val="0"/>
    <w:pPr>
      <w:keepNext/>
      <w:tabs>
        <w:tab w:val="left" w:pos="720"/>
      </w:tabs>
      <w:spacing w:before="240" w:after="60"/>
      <w:ind w:left="720" w:hanging="720"/>
      <w:outlineLvl w:val="2"/>
    </w:pPr>
    <w:rPr>
      <w:rFonts w:cs="Arial"/>
      <w:b/>
      <w:bCs/>
      <w:sz w:val="24"/>
      <w:szCs w:val="26"/>
    </w:rPr>
  </w:style>
  <w:style w:type="paragraph" w:styleId="5">
    <w:name w:val="heading 4"/>
    <w:basedOn w:val="1"/>
    <w:next w:val="1"/>
    <w:link w:val="41"/>
    <w:qFormat/>
    <w:uiPriority w:val="0"/>
    <w:pPr>
      <w:keepNext/>
      <w:tabs>
        <w:tab w:val="left" w:pos="864"/>
      </w:tabs>
      <w:spacing w:before="240" w:after="60"/>
      <w:ind w:left="864" w:hanging="864"/>
      <w:outlineLvl w:val="3"/>
    </w:pPr>
    <w:rPr>
      <w:b/>
      <w:bCs/>
      <w:sz w:val="28"/>
      <w:szCs w:val="28"/>
    </w:rPr>
  </w:style>
  <w:style w:type="paragraph" w:styleId="6">
    <w:name w:val="heading 5"/>
    <w:basedOn w:val="1"/>
    <w:next w:val="1"/>
    <w:qFormat/>
    <w:uiPriority w:val="0"/>
    <w:pPr>
      <w:tabs>
        <w:tab w:val="left" w:pos="1008"/>
      </w:tabs>
      <w:spacing w:before="240" w:after="60"/>
      <w:ind w:left="1008" w:hanging="1008"/>
      <w:outlineLvl w:val="4"/>
    </w:pPr>
    <w:rPr>
      <w:b/>
      <w:bCs/>
      <w:i/>
      <w:iCs/>
      <w:sz w:val="26"/>
      <w:szCs w:val="26"/>
    </w:rPr>
  </w:style>
  <w:style w:type="paragraph" w:styleId="7">
    <w:name w:val="heading 6"/>
    <w:basedOn w:val="1"/>
    <w:next w:val="1"/>
    <w:qFormat/>
    <w:uiPriority w:val="0"/>
    <w:pPr>
      <w:tabs>
        <w:tab w:val="left" w:pos="1152"/>
      </w:tabs>
      <w:spacing w:before="240" w:after="60"/>
      <w:ind w:left="1152" w:hanging="1152"/>
      <w:outlineLvl w:val="5"/>
    </w:pPr>
    <w:rPr>
      <w:b/>
      <w:bCs/>
      <w:sz w:val="22"/>
      <w:szCs w:val="22"/>
    </w:rPr>
  </w:style>
  <w:style w:type="paragraph" w:styleId="8">
    <w:name w:val="heading 7"/>
    <w:basedOn w:val="1"/>
    <w:next w:val="1"/>
    <w:qFormat/>
    <w:uiPriority w:val="0"/>
    <w:pPr>
      <w:tabs>
        <w:tab w:val="left" w:pos="1296"/>
      </w:tabs>
      <w:spacing w:before="240" w:after="60"/>
      <w:ind w:left="1296" w:hanging="1296"/>
      <w:outlineLvl w:val="6"/>
    </w:pPr>
    <w:rPr>
      <w:sz w:val="24"/>
      <w:szCs w:val="24"/>
    </w:rPr>
  </w:style>
  <w:style w:type="paragraph" w:styleId="9">
    <w:name w:val="heading 8"/>
    <w:basedOn w:val="1"/>
    <w:next w:val="10"/>
    <w:link w:val="45"/>
    <w:qFormat/>
    <w:uiPriority w:val="0"/>
    <w:pPr>
      <w:keepNext/>
      <w:keepLines/>
      <w:widowControl w:val="0"/>
      <w:tabs>
        <w:tab w:val="left" w:pos="1440"/>
      </w:tabs>
      <w:overflowPunct/>
      <w:autoSpaceDE/>
      <w:autoSpaceDN/>
      <w:adjustRightInd/>
      <w:spacing w:before="120" w:after="120"/>
      <w:ind w:left="1440" w:hanging="1440"/>
      <w:textAlignment w:val="auto"/>
      <w:outlineLvl w:val="7"/>
    </w:pPr>
    <w:rPr>
      <w:rFonts w:ascii="Arial" w:hAnsi="Arial" w:eastAsia="宋体"/>
      <w:kern w:val="2"/>
      <w:sz w:val="21"/>
      <w:szCs w:val="24"/>
      <w:lang w:val="en-US" w:eastAsia="zh-CN"/>
    </w:rPr>
  </w:style>
  <w:style w:type="paragraph" w:styleId="11">
    <w:name w:val="heading 9"/>
    <w:basedOn w:val="1"/>
    <w:next w:val="10"/>
    <w:link w:val="51"/>
    <w:qFormat/>
    <w:uiPriority w:val="0"/>
    <w:pPr>
      <w:keepNext/>
      <w:keepLines/>
      <w:widowControl w:val="0"/>
      <w:tabs>
        <w:tab w:val="left" w:pos="1584"/>
      </w:tabs>
      <w:overflowPunct/>
      <w:autoSpaceDE/>
      <w:autoSpaceDN/>
      <w:adjustRightInd/>
      <w:spacing w:before="120" w:after="120"/>
      <w:ind w:left="1584" w:hanging="1584"/>
      <w:textAlignment w:val="auto"/>
      <w:outlineLvl w:val="8"/>
    </w:pPr>
    <w:rPr>
      <w:rFonts w:ascii="Arial" w:hAnsi="Arial" w:eastAsia="宋体"/>
      <w:kern w:val="2"/>
      <w:sz w:val="21"/>
      <w:szCs w:val="24"/>
      <w:lang w:val="en-US" w:eastAsia="zh-CN"/>
    </w:rPr>
  </w:style>
  <w:style w:type="character" w:default="1" w:styleId="27">
    <w:name w:val="Default Paragraph Font"/>
    <w:semiHidden/>
    <w:unhideWhenUsed/>
    <w:qFormat/>
    <w:uiPriority w:val="1"/>
  </w:style>
  <w:style w:type="table" w:default="1" w:styleId="33">
    <w:name w:val="Normal Table"/>
    <w:semiHidden/>
    <w:unhideWhenUsed/>
    <w:qFormat/>
    <w:uiPriority w:val="99"/>
    <w:tblPr>
      <w:tblLayout w:type="fixed"/>
      <w:tblCellMar>
        <w:top w:w="0" w:type="dxa"/>
        <w:left w:w="108" w:type="dxa"/>
        <w:bottom w:w="0" w:type="dxa"/>
        <w:right w:w="108" w:type="dxa"/>
      </w:tblCellMar>
    </w:tblPr>
  </w:style>
  <w:style w:type="paragraph" w:styleId="10">
    <w:name w:val="Normal Indent"/>
    <w:basedOn w:val="1"/>
    <w:unhideWhenUsed/>
    <w:qFormat/>
    <w:uiPriority w:val="99"/>
    <w:pPr>
      <w:ind w:firstLine="420" w:firstLineChars="200"/>
    </w:pPr>
  </w:style>
  <w:style w:type="paragraph" w:styleId="12">
    <w:name w:val="annotation subject"/>
    <w:basedOn w:val="13"/>
    <w:next w:val="13"/>
    <w:link w:val="55"/>
    <w:unhideWhenUsed/>
    <w:qFormat/>
    <w:uiPriority w:val="99"/>
    <w:rPr>
      <w:b/>
      <w:bCs/>
    </w:rPr>
  </w:style>
  <w:style w:type="paragraph" w:styleId="13">
    <w:name w:val="annotation text"/>
    <w:basedOn w:val="1"/>
    <w:link w:val="42"/>
    <w:unhideWhenUsed/>
    <w:qFormat/>
    <w:uiPriority w:val="0"/>
  </w:style>
  <w:style w:type="paragraph" w:styleId="14">
    <w:name w:val="List Number"/>
    <w:basedOn w:val="1"/>
    <w:qFormat/>
    <w:uiPriority w:val="0"/>
    <w:pPr>
      <w:widowControl w:val="0"/>
      <w:overflowPunct/>
      <w:autoSpaceDE/>
      <w:autoSpaceDN/>
      <w:adjustRightInd/>
      <w:snapToGrid w:val="0"/>
      <w:spacing w:beforeLines="100" w:after="0" w:line="460" w:lineRule="exact"/>
      <w:ind w:firstLine="567"/>
    </w:pPr>
    <w:rPr>
      <w:rFonts w:eastAsia="楷体_GB2312"/>
      <w:snapToGrid w:val="0"/>
      <w:sz w:val="28"/>
      <w:szCs w:val="28"/>
      <w:lang w:val="en-US" w:eastAsia="zh-CN"/>
    </w:rPr>
  </w:style>
  <w:style w:type="paragraph" w:styleId="15">
    <w:name w:val="caption"/>
    <w:basedOn w:val="1"/>
    <w:next w:val="1"/>
    <w:link w:val="36"/>
    <w:qFormat/>
    <w:uiPriority w:val="0"/>
    <w:rPr>
      <w:b/>
      <w:bCs/>
    </w:rPr>
  </w:style>
  <w:style w:type="paragraph" w:styleId="16">
    <w:name w:val="List Bullet"/>
    <w:basedOn w:val="17"/>
    <w:qFormat/>
    <w:uiPriority w:val="0"/>
    <w:pPr>
      <w:tabs>
        <w:tab w:val="left" w:pos="510"/>
      </w:tabs>
      <w:overflowPunct w:val="0"/>
      <w:autoSpaceDE w:val="0"/>
      <w:autoSpaceDN w:val="0"/>
      <w:adjustRightInd w:val="0"/>
      <w:spacing w:after="120"/>
      <w:ind w:left="510" w:hanging="397"/>
      <w:textAlignment w:val="baseline"/>
    </w:pPr>
    <w:rPr>
      <w:rFonts w:ascii="Arial" w:hAnsi="Arial" w:eastAsia="Times New Roman"/>
      <w:lang w:eastAsia="zh-CN"/>
    </w:rPr>
  </w:style>
  <w:style w:type="paragraph" w:styleId="17">
    <w:name w:val="Body Text"/>
    <w:basedOn w:val="1"/>
    <w:link w:val="99"/>
    <w:qFormat/>
    <w:uiPriority w:val="0"/>
    <w:pPr>
      <w:overflowPunct/>
      <w:autoSpaceDE/>
      <w:autoSpaceDN/>
      <w:adjustRightInd/>
      <w:textAlignment w:val="auto"/>
    </w:pPr>
    <w:rPr>
      <w:rFonts w:eastAsia="MS Mincho"/>
    </w:rPr>
  </w:style>
  <w:style w:type="paragraph" w:styleId="18">
    <w:name w:val="Document Map"/>
    <w:basedOn w:val="1"/>
    <w:semiHidden/>
    <w:qFormat/>
    <w:uiPriority w:val="0"/>
    <w:pPr>
      <w:shd w:val="clear" w:color="auto" w:fill="000080"/>
    </w:pPr>
    <w:rPr>
      <w:rFonts w:ascii="Tahoma" w:hAnsi="Tahoma" w:cs="Tahoma"/>
    </w:rPr>
  </w:style>
  <w:style w:type="paragraph" w:styleId="19">
    <w:name w:val="Body Text Indent"/>
    <w:basedOn w:val="1"/>
    <w:qFormat/>
    <w:uiPriority w:val="0"/>
    <w:pPr>
      <w:spacing w:after="120"/>
      <w:ind w:left="283"/>
    </w:pPr>
  </w:style>
  <w:style w:type="paragraph" w:styleId="20">
    <w:name w:val="Balloon Text"/>
    <w:basedOn w:val="1"/>
    <w:link w:val="35"/>
    <w:unhideWhenUsed/>
    <w:qFormat/>
    <w:uiPriority w:val="99"/>
    <w:pPr>
      <w:spacing w:after="0"/>
    </w:pPr>
    <w:rPr>
      <w:rFonts w:ascii="Tahoma" w:hAnsi="Tahoma" w:cs="Tahoma"/>
      <w:sz w:val="16"/>
      <w:szCs w:val="16"/>
    </w:rPr>
  </w:style>
  <w:style w:type="paragraph" w:styleId="21">
    <w:name w:val="footer"/>
    <w:basedOn w:val="1"/>
    <w:link w:val="56"/>
    <w:unhideWhenUsed/>
    <w:qFormat/>
    <w:uiPriority w:val="99"/>
    <w:pPr>
      <w:tabs>
        <w:tab w:val="center" w:pos="4513"/>
        <w:tab w:val="right" w:pos="9026"/>
      </w:tabs>
      <w:snapToGrid w:val="0"/>
    </w:pPr>
  </w:style>
  <w:style w:type="paragraph" w:styleId="22">
    <w:name w:val="header"/>
    <w:link w:val="50"/>
    <w:qFormat/>
    <w:uiPriority w:val="0"/>
    <w:pPr>
      <w:widowControl w:val="0"/>
      <w:overflowPunct w:val="0"/>
      <w:autoSpaceDE w:val="0"/>
      <w:autoSpaceDN w:val="0"/>
      <w:adjustRightInd w:val="0"/>
      <w:spacing w:after="200" w:line="276" w:lineRule="auto"/>
      <w:textAlignment w:val="baseline"/>
    </w:pPr>
    <w:rPr>
      <w:rFonts w:ascii="Arial" w:hAnsi="Arial" w:eastAsia="Times New Roman" w:cs="Times New Roman"/>
      <w:b/>
      <w:sz w:val="18"/>
      <w:lang w:val="en-US" w:eastAsia="en-US" w:bidi="ar-SA"/>
    </w:rPr>
  </w:style>
  <w:style w:type="paragraph" w:styleId="23">
    <w:name w:val="toc 1"/>
    <w:next w:val="1"/>
    <w:qFormat/>
    <w:uiPriority w:val="39"/>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eastAsia="宋体" w:cs="Times New Roman"/>
      <w:b/>
      <w:szCs w:val="22"/>
      <w:lang w:val="en-US" w:eastAsia="zh-CN" w:bidi="ar-SA"/>
    </w:rPr>
  </w:style>
  <w:style w:type="paragraph" w:styleId="24">
    <w:name w:val="List"/>
    <w:basedOn w:val="1"/>
    <w:qFormat/>
    <w:uiPriority w:val="0"/>
    <w:pPr>
      <w:ind w:left="283" w:hanging="283"/>
    </w:pPr>
  </w:style>
  <w:style w:type="paragraph" w:styleId="25">
    <w:name w:val="footnote text"/>
    <w:basedOn w:val="1"/>
    <w:unhideWhenUsed/>
    <w:qFormat/>
    <w:uiPriority w:val="99"/>
    <w:pPr>
      <w:snapToGrid w:val="0"/>
      <w:jc w:val="left"/>
    </w:pPr>
    <w:rPr>
      <w:sz w:val="18"/>
    </w:rPr>
  </w:style>
  <w:style w:type="paragraph" w:styleId="26">
    <w:name w:val="Normal (Web)"/>
    <w:basedOn w:val="1"/>
    <w:qFormat/>
    <w:uiPriority w:val="99"/>
    <w:pPr>
      <w:overflowPunct/>
      <w:autoSpaceDE/>
      <w:autoSpaceDN/>
      <w:adjustRightInd/>
      <w:spacing w:before="100" w:beforeAutospacing="1" w:after="100" w:afterAutospacing="1"/>
      <w:textAlignment w:val="auto"/>
    </w:pPr>
    <w:rPr>
      <w:rFonts w:eastAsia="宋体"/>
      <w:sz w:val="24"/>
      <w:szCs w:val="24"/>
      <w:lang w:val="en-US" w:eastAsia="zh-CN" w:bidi="he-IL"/>
    </w:rPr>
  </w:style>
  <w:style w:type="character" w:styleId="28">
    <w:name w:val="Strong"/>
    <w:basedOn w:val="27"/>
    <w:qFormat/>
    <w:uiPriority w:val="22"/>
    <w:rPr>
      <w:b/>
      <w:bCs/>
    </w:rPr>
  </w:style>
  <w:style w:type="character" w:styleId="29">
    <w:name w:val="FollowedHyperlink"/>
    <w:basedOn w:val="27"/>
    <w:qFormat/>
    <w:uiPriority w:val="0"/>
    <w:rPr>
      <w:color w:val="800080"/>
      <w:u w:val="single"/>
    </w:rPr>
  </w:style>
  <w:style w:type="character" w:styleId="30">
    <w:name w:val="Hyperlink"/>
    <w:basedOn w:val="27"/>
    <w:unhideWhenUsed/>
    <w:qFormat/>
    <w:uiPriority w:val="99"/>
    <w:rPr>
      <w:color w:val="0000FF"/>
      <w:u w:val="single"/>
    </w:rPr>
  </w:style>
  <w:style w:type="character" w:styleId="31">
    <w:name w:val="annotation reference"/>
    <w:basedOn w:val="27"/>
    <w:unhideWhenUsed/>
    <w:qFormat/>
    <w:uiPriority w:val="0"/>
    <w:rPr>
      <w:sz w:val="16"/>
      <w:szCs w:val="16"/>
    </w:rPr>
  </w:style>
  <w:style w:type="character" w:styleId="32">
    <w:name w:val="footnote reference"/>
    <w:basedOn w:val="27"/>
    <w:unhideWhenUsed/>
    <w:qFormat/>
    <w:uiPriority w:val="99"/>
    <w:rPr>
      <w:vertAlign w:val="superscript"/>
    </w:rPr>
  </w:style>
  <w:style w:type="table" w:styleId="34">
    <w:name w:val="Table Grid"/>
    <w:basedOn w:val="3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35">
    <w:name w:val="批注框文本 Char"/>
    <w:basedOn w:val="27"/>
    <w:link w:val="20"/>
    <w:semiHidden/>
    <w:qFormat/>
    <w:uiPriority w:val="99"/>
    <w:rPr>
      <w:rFonts w:ascii="Tahoma" w:hAnsi="Tahoma" w:eastAsia="Times New Roman" w:cs="Tahoma"/>
      <w:sz w:val="16"/>
      <w:szCs w:val="16"/>
      <w:lang w:val="en-GB"/>
    </w:rPr>
  </w:style>
  <w:style w:type="character" w:customStyle="1" w:styleId="36">
    <w:name w:val="题注 Char"/>
    <w:basedOn w:val="27"/>
    <w:link w:val="15"/>
    <w:qFormat/>
    <w:uiPriority w:val="0"/>
    <w:rPr>
      <w:b/>
      <w:bCs/>
      <w:lang w:val="en-GB" w:eastAsia="en-US" w:bidi="ar-SA"/>
    </w:rPr>
  </w:style>
  <w:style w:type="character" w:customStyle="1" w:styleId="37">
    <w:name w:val="B1 (文字)"/>
    <w:basedOn w:val="27"/>
    <w:qFormat/>
    <w:uiPriority w:val="0"/>
    <w:rPr>
      <w:rFonts w:eastAsia="Times New Roman"/>
    </w:rPr>
  </w:style>
  <w:style w:type="character" w:customStyle="1" w:styleId="38">
    <w:name w:val="样式 正文缩进d + 首行缩进:  2 字符 段前: 0.35 行 Char"/>
    <w:basedOn w:val="27"/>
    <w:link w:val="39"/>
    <w:qFormat/>
    <w:locked/>
    <w:uiPriority w:val="0"/>
    <w:rPr>
      <w:rFonts w:ascii="Times New Roman" w:hAnsi="Times New Roman" w:eastAsia="楷体_GB2312" w:cs="宋体"/>
      <w:snapToGrid w:val="0"/>
      <w:sz w:val="28"/>
    </w:rPr>
  </w:style>
  <w:style w:type="paragraph" w:customStyle="1" w:styleId="39">
    <w:name w:val="样式 正文缩进d + 首行缩进:  2 字符 段前: 0.35 行"/>
    <w:basedOn w:val="10"/>
    <w:link w:val="38"/>
    <w:qFormat/>
    <w:uiPriority w:val="0"/>
    <w:pPr>
      <w:widowControl w:val="0"/>
      <w:overflowPunct/>
      <w:autoSpaceDE/>
      <w:autoSpaceDN/>
      <w:snapToGrid w:val="0"/>
      <w:spacing w:beforeLines="35" w:after="0" w:line="460" w:lineRule="exact"/>
      <w:ind w:firstLine="560"/>
    </w:pPr>
    <w:rPr>
      <w:rFonts w:eastAsia="楷体_GB2312" w:cs="宋体"/>
      <w:snapToGrid w:val="0"/>
      <w:sz w:val="28"/>
      <w:lang w:val="en-US" w:eastAsia="zh-CN"/>
    </w:rPr>
  </w:style>
  <w:style w:type="character" w:customStyle="1" w:styleId="40">
    <w:name w:val="标题 1 Char"/>
    <w:basedOn w:val="27"/>
    <w:link w:val="2"/>
    <w:qFormat/>
    <w:uiPriority w:val="0"/>
    <w:rPr>
      <w:rFonts w:ascii="Arial" w:hAnsi="Arial" w:eastAsia="宋体"/>
      <w:sz w:val="28"/>
      <w:szCs w:val="22"/>
      <w:lang w:val="en-GB"/>
    </w:rPr>
  </w:style>
  <w:style w:type="character" w:customStyle="1" w:styleId="41">
    <w:name w:val="标题 4 Char"/>
    <w:basedOn w:val="27"/>
    <w:link w:val="5"/>
    <w:qFormat/>
    <w:uiPriority w:val="0"/>
    <w:rPr>
      <w:rFonts w:ascii="Times New Roman" w:hAnsi="Times New Roman" w:eastAsia="Times New Roman"/>
      <w:b/>
      <w:bCs/>
      <w:sz w:val="28"/>
      <w:szCs w:val="28"/>
      <w:lang w:val="en-GB" w:eastAsia="en-US"/>
    </w:rPr>
  </w:style>
  <w:style w:type="character" w:customStyle="1" w:styleId="42">
    <w:name w:val="批注文字 Char"/>
    <w:basedOn w:val="27"/>
    <w:link w:val="13"/>
    <w:semiHidden/>
    <w:qFormat/>
    <w:uiPriority w:val="0"/>
    <w:rPr>
      <w:rFonts w:ascii="Times New Roman" w:hAnsi="Times New Roman" w:eastAsia="Times New Roman" w:cs="Times New Roman"/>
      <w:sz w:val="20"/>
      <w:szCs w:val="20"/>
      <w:lang w:val="en-GB"/>
    </w:rPr>
  </w:style>
  <w:style w:type="character" w:customStyle="1" w:styleId="43">
    <w:name w:val="TH Char"/>
    <w:link w:val="44"/>
    <w:qFormat/>
    <w:uiPriority w:val="0"/>
    <w:rPr>
      <w:rFonts w:ascii="Arial" w:hAnsi="Arial" w:eastAsia="Times New Roman"/>
      <w:b/>
      <w:lang w:val="en-GB" w:eastAsia="en-GB"/>
    </w:rPr>
  </w:style>
  <w:style w:type="paragraph" w:customStyle="1" w:styleId="44">
    <w:name w:val="TH"/>
    <w:basedOn w:val="1"/>
    <w:link w:val="43"/>
    <w:qFormat/>
    <w:uiPriority w:val="0"/>
    <w:pPr>
      <w:keepNext/>
      <w:keepLines/>
      <w:spacing w:before="60"/>
      <w:jc w:val="center"/>
    </w:pPr>
    <w:rPr>
      <w:rFonts w:ascii="Arial" w:hAnsi="Arial"/>
      <w:b/>
      <w:lang w:eastAsia="en-GB"/>
    </w:rPr>
  </w:style>
  <w:style w:type="character" w:customStyle="1" w:styleId="45">
    <w:name w:val="标题 8 Char"/>
    <w:basedOn w:val="27"/>
    <w:link w:val="9"/>
    <w:qFormat/>
    <w:uiPriority w:val="0"/>
    <w:rPr>
      <w:rFonts w:ascii="Arial" w:hAnsi="Arial" w:eastAsia="宋体"/>
      <w:kern w:val="2"/>
      <w:sz w:val="21"/>
      <w:szCs w:val="24"/>
    </w:rPr>
  </w:style>
  <w:style w:type="character" w:customStyle="1" w:styleId="46">
    <w:name w:val="TAL Char"/>
    <w:basedOn w:val="27"/>
    <w:link w:val="47"/>
    <w:qFormat/>
    <w:uiPriority w:val="0"/>
    <w:rPr>
      <w:rFonts w:ascii="Arial" w:hAnsi="Arial"/>
      <w:sz w:val="18"/>
      <w:lang w:val="en-GB" w:eastAsia="ja-JP" w:bidi="ar-SA"/>
    </w:rPr>
  </w:style>
  <w:style w:type="paragraph" w:customStyle="1" w:styleId="47">
    <w:name w:val="TAL"/>
    <w:basedOn w:val="1"/>
    <w:link w:val="46"/>
    <w:qFormat/>
    <w:uiPriority w:val="0"/>
    <w:pPr>
      <w:keepNext/>
      <w:keepLines/>
      <w:spacing w:after="0"/>
    </w:pPr>
    <w:rPr>
      <w:rFonts w:ascii="Arial" w:hAnsi="Arial"/>
      <w:sz w:val="18"/>
      <w:lang w:eastAsia="ja-JP"/>
    </w:rPr>
  </w:style>
  <w:style w:type="character" w:customStyle="1" w:styleId="48">
    <w:name w:val="Text Car"/>
    <w:basedOn w:val="27"/>
    <w:link w:val="49"/>
    <w:qFormat/>
    <w:uiPriority w:val="0"/>
    <w:rPr>
      <w:rFonts w:ascii="Arial" w:hAnsi="Arial"/>
      <w:lang w:val="en-US" w:eastAsia="en-US" w:bidi="ar-SA"/>
    </w:rPr>
  </w:style>
  <w:style w:type="paragraph" w:customStyle="1" w:styleId="49">
    <w:name w:val="Text"/>
    <w:basedOn w:val="1"/>
    <w:link w:val="48"/>
    <w:qFormat/>
    <w:uiPriority w:val="0"/>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50">
    <w:name w:val="页眉 Char"/>
    <w:basedOn w:val="27"/>
    <w:link w:val="22"/>
    <w:qFormat/>
    <w:uiPriority w:val="0"/>
    <w:rPr>
      <w:rFonts w:ascii="Arial" w:hAnsi="Arial" w:eastAsia="Times New Roman"/>
      <w:b/>
      <w:sz w:val="18"/>
      <w:lang w:val="en-US" w:eastAsia="en-US" w:bidi="ar-SA"/>
    </w:rPr>
  </w:style>
  <w:style w:type="character" w:customStyle="1" w:styleId="51">
    <w:name w:val="标题 9 Char"/>
    <w:basedOn w:val="27"/>
    <w:link w:val="11"/>
    <w:qFormat/>
    <w:uiPriority w:val="0"/>
    <w:rPr>
      <w:rFonts w:ascii="Arial" w:hAnsi="Arial" w:eastAsia="宋体"/>
      <w:kern w:val="2"/>
      <w:sz w:val="21"/>
      <w:szCs w:val="24"/>
    </w:rPr>
  </w:style>
  <w:style w:type="character" w:customStyle="1" w:styleId="52">
    <w:name w:val="Doc-title Char"/>
    <w:basedOn w:val="27"/>
    <w:link w:val="53"/>
    <w:qFormat/>
    <w:uiPriority w:val="0"/>
    <w:rPr>
      <w:rFonts w:ascii="Arial" w:hAnsi="Arial" w:eastAsia="MS Mincho"/>
      <w:szCs w:val="24"/>
      <w:lang w:val="en-GB" w:eastAsia="en-GB" w:bidi="ar-SA"/>
    </w:rPr>
  </w:style>
  <w:style w:type="paragraph" w:customStyle="1" w:styleId="53">
    <w:name w:val="Doc-title"/>
    <w:basedOn w:val="1"/>
    <w:next w:val="54"/>
    <w:link w:val="52"/>
    <w:qFormat/>
    <w:uiPriority w:val="0"/>
    <w:pPr>
      <w:overflowPunct/>
      <w:autoSpaceDE/>
      <w:autoSpaceDN/>
      <w:adjustRightInd/>
      <w:spacing w:after="0"/>
      <w:ind w:left="1259" w:hanging="1259"/>
      <w:textAlignment w:val="auto"/>
    </w:pPr>
    <w:rPr>
      <w:rFonts w:ascii="Arial" w:hAnsi="Arial" w:eastAsia="MS Mincho"/>
      <w:szCs w:val="24"/>
      <w:lang w:val="en-US" w:eastAsia="en-GB"/>
    </w:rPr>
  </w:style>
  <w:style w:type="paragraph" w:customStyle="1" w:styleId="54">
    <w:name w:val="Doc-text2"/>
    <w:basedOn w:val="1"/>
    <w:link w:val="57"/>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55">
    <w:name w:val="批注主题 Char"/>
    <w:basedOn w:val="42"/>
    <w:link w:val="12"/>
    <w:semiHidden/>
    <w:qFormat/>
    <w:uiPriority w:val="99"/>
    <w:rPr>
      <w:rFonts w:ascii="Times New Roman" w:hAnsi="Times New Roman" w:eastAsia="Times New Roman" w:cs="Times New Roman"/>
      <w:b/>
      <w:bCs/>
      <w:sz w:val="20"/>
      <w:szCs w:val="20"/>
      <w:lang w:val="en-GB"/>
    </w:rPr>
  </w:style>
  <w:style w:type="character" w:customStyle="1" w:styleId="56">
    <w:name w:val="页脚 Char"/>
    <w:basedOn w:val="27"/>
    <w:link w:val="21"/>
    <w:qFormat/>
    <w:uiPriority w:val="99"/>
    <w:rPr>
      <w:rFonts w:ascii="Times New Roman" w:hAnsi="Times New Roman" w:eastAsia="Times New Roman"/>
      <w:lang w:val="en-GB" w:eastAsia="en-US"/>
    </w:rPr>
  </w:style>
  <w:style w:type="character" w:customStyle="1" w:styleId="57">
    <w:name w:val="Doc-text2 Char"/>
    <w:basedOn w:val="27"/>
    <w:link w:val="54"/>
    <w:qFormat/>
    <w:uiPriority w:val="0"/>
    <w:rPr>
      <w:rFonts w:ascii="Arial" w:hAnsi="Arial" w:eastAsia="MS Mincho"/>
      <w:szCs w:val="24"/>
      <w:lang w:val="en-GB" w:eastAsia="en-GB" w:bidi="ar-SA"/>
    </w:rPr>
  </w:style>
  <w:style w:type="character" w:customStyle="1" w:styleId="58">
    <w:name w:val="B1 Char1"/>
    <w:basedOn w:val="27"/>
    <w:link w:val="59"/>
    <w:qFormat/>
    <w:uiPriority w:val="0"/>
    <w:rPr>
      <w:rFonts w:eastAsia="MS Mincho"/>
      <w:lang w:val="en-GB" w:eastAsia="en-US" w:bidi="ar-SA"/>
    </w:rPr>
  </w:style>
  <w:style w:type="paragraph" w:customStyle="1" w:styleId="59">
    <w:name w:val="B1"/>
    <w:basedOn w:val="1"/>
    <w:link w:val="58"/>
    <w:qFormat/>
    <w:uiPriority w:val="0"/>
    <w:pPr>
      <w:overflowPunct/>
      <w:autoSpaceDE/>
      <w:autoSpaceDN/>
      <w:adjustRightInd/>
      <w:ind w:left="568" w:hanging="284"/>
      <w:textAlignment w:val="auto"/>
    </w:pPr>
    <w:rPr>
      <w:rFonts w:eastAsia="MS Mincho"/>
    </w:rPr>
  </w:style>
  <w:style w:type="character" w:customStyle="1" w:styleId="60">
    <w:name w:val="NO Char"/>
    <w:basedOn w:val="27"/>
    <w:link w:val="61"/>
    <w:qFormat/>
    <w:uiPriority w:val="0"/>
    <w:rPr>
      <w:rFonts w:eastAsia="MS Mincho"/>
      <w:lang w:val="en-GB" w:eastAsia="en-US" w:bidi="ar-SA"/>
    </w:rPr>
  </w:style>
  <w:style w:type="paragraph" w:customStyle="1" w:styleId="61">
    <w:name w:val="NO"/>
    <w:basedOn w:val="1"/>
    <w:link w:val="60"/>
    <w:qFormat/>
    <w:uiPriority w:val="0"/>
    <w:pPr>
      <w:keepLines/>
      <w:overflowPunct/>
      <w:autoSpaceDE/>
      <w:autoSpaceDN/>
      <w:adjustRightInd/>
      <w:ind w:left="1135" w:hanging="851"/>
      <w:textAlignment w:val="auto"/>
    </w:pPr>
    <w:rPr>
      <w:rFonts w:eastAsia="MS Mincho"/>
    </w:rPr>
  </w:style>
  <w:style w:type="character" w:customStyle="1" w:styleId="62">
    <w:name w:val="TAH Char"/>
    <w:basedOn w:val="27"/>
    <w:link w:val="63"/>
    <w:qFormat/>
    <w:uiPriority w:val="0"/>
    <w:rPr>
      <w:rFonts w:ascii="Arial" w:hAnsi="Arial"/>
      <w:b/>
      <w:sz w:val="18"/>
      <w:lang w:val="en-GB" w:eastAsia="ja-JP" w:bidi="ar-SA"/>
    </w:rPr>
  </w:style>
  <w:style w:type="paragraph" w:customStyle="1" w:styleId="63">
    <w:name w:val="TAH"/>
    <w:basedOn w:val="1"/>
    <w:link w:val="62"/>
    <w:qFormat/>
    <w:uiPriority w:val="0"/>
    <w:pPr>
      <w:keepNext/>
      <w:keepLines/>
      <w:spacing w:after="0"/>
      <w:jc w:val="center"/>
    </w:pPr>
    <w:rPr>
      <w:rFonts w:ascii="Arial" w:hAnsi="Arial"/>
      <w:b/>
      <w:sz w:val="18"/>
      <w:lang w:eastAsia="ja-JP"/>
    </w:rPr>
  </w:style>
  <w:style w:type="character" w:customStyle="1" w:styleId="64">
    <w:name w:val="msoins"/>
    <w:basedOn w:val="27"/>
    <w:qFormat/>
    <w:uiPriority w:val="0"/>
  </w:style>
  <w:style w:type="character" w:customStyle="1" w:styleId="65">
    <w:name w:val="B2 Char1"/>
    <w:basedOn w:val="42"/>
    <w:link w:val="66"/>
    <w:qFormat/>
    <w:uiPriority w:val="0"/>
    <w:rPr>
      <w:rFonts w:ascii="Times New Roman" w:hAnsi="Times New Roman" w:eastAsia="Times New Roman" w:cs="Times New Roman"/>
      <w:sz w:val="20"/>
      <w:szCs w:val="20"/>
      <w:lang w:val="en-GB" w:eastAsia="en-US" w:bidi="ar-SA"/>
    </w:rPr>
  </w:style>
  <w:style w:type="paragraph" w:customStyle="1" w:styleId="66">
    <w:name w:val="B2"/>
    <w:basedOn w:val="1"/>
    <w:link w:val="65"/>
    <w:qFormat/>
    <w:uiPriority w:val="0"/>
    <w:pPr>
      <w:overflowPunct/>
      <w:autoSpaceDE/>
      <w:autoSpaceDN/>
      <w:adjustRightInd/>
      <w:ind w:left="851" w:hanging="284"/>
      <w:textAlignment w:val="auto"/>
    </w:pPr>
  </w:style>
  <w:style w:type="character" w:customStyle="1" w:styleId="67">
    <w:name w:val="TAL + Left:  1.00 cm Char Char"/>
    <w:basedOn w:val="46"/>
    <w:link w:val="68"/>
    <w:qFormat/>
    <w:uiPriority w:val="0"/>
    <w:rPr>
      <w:rFonts w:ascii="Arial" w:hAnsi="Arial"/>
      <w:sz w:val="18"/>
      <w:lang w:val="en-GB" w:eastAsia="en-GB" w:bidi="ar-SA"/>
    </w:rPr>
  </w:style>
  <w:style w:type="paragraph" w:customStyle="1" w:styleId="68">
    <w:name w:val="TAL + Left:  1"/>
    <w:basedOn w:val="47"/>
    <w:link w:val="67"/>
    <w:qFormat/>
    <w:uiPriority w:val="0"/>
    <w:pPr>
      <w:ind w:left="567"/>
    </w:pPr>
    <w:rPr>
      <w:lang w:eastAsia="en-GB"/>
    </w:rPr>
  </w:style>
  <w:style w:type="character" w:customStyle="1" w:styleId="69">
    <w:name w:val="header odd Char"/>
    <w:basedOn w:val="27"/>
    <w:qFormat/>
    <w:uiPriority w:val="0"/>
    <w:rPr>
      <w:lang w:val="en-GB" w:eastAsia="en-US" w:bidi="ar-SA"/>
    </w:rPr>
  </w:style>
  <w:style w:type="character" w:customStyle="1" w:styleId="70">
    <w:name w:val="B1 Char"/>
    <w:basedOn w:val="27"/>
    <w:qFormat/>
    <w:uiPriority w:val="0"/>
    <w:rPr>
      <w:rFonts w:ascii="Times New Roman" w:hAnsi="Times New Roman"/>
      <w:lang w:val="en-GB" w:eastAsia="en-US"/>
    </w:rPr>
  </w:style>
  <w:style w:type="character" w:customStyle="1" w:styleId="71">
    <w:name w:val="PL Char"/>
    <w:basedOn w:val="27"/>
    <w:link w:val="72"/>
    <w:qFormat/>
    <w:uiPriority w:val="0"/>
    <w:rPr>
      <w:rFonts w:ascii="Courier New" w:hAnsi="Courier New" w:eastAsia="宋体"/>
      <w:sz w:val="16"/>
      <w:lang w:val="en-GB" w:eastAsia="ja-JP" w:bidi="ar-SA"/>
    </w:rPr>
  </w:style>
  <w:style w:type="paragraph" w:customStyle="1" w:styleId="72">
    <w:name w:val="PL"/>
    <w:link w:val="7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eastAsia="宋体" w:cs="Times New Roman"/>
      <w:sz w:val="16"/>
      <w:lang w:val="en-GB" w:eastAsia="ja-JP" w:bidi="ar-SA"/>
    </w:rPr>
  </w:style>
  <w:style w:type="character" w:customStyle="1" w:styleId="73">
    <w:name w:val="TAC Char"/>
    <w:link w:val="74"/>
    <w:qFormat/>
    <w:uiPriority w:val="0"/>
    <w:rPr>
      <w:rFonts w:ascii="Arial" w:hAnsi="Arial" w:eastAsia="Times New Roman"/>
      <w:sz w:val="18"/>
      <w:lang w:val="en-GB" w:eastAsia="ja-JP"/>
    </w:rPr>
  </w:style>
  <w:style w:type="paragraph" w:customStyle="1" w:styleId="74">
    <w:name w:val="TAC"/>
    <w:basedOn w:val="47"/>
    <w:link w:val="73"/>
    <w:qFormat/>
    <w:uiPriority w:val="0"/>
    <w:pPr>
      <w:jc w:val="center"/>
    </w:pPr>
  </w:style>
  <w:style w:type="character" w:customStyle="1" w:styleId="75">
    <w:name w:val="占位符文本1"/>
    <w:basedOn w:val="27"/>
    <w:semiHidden/>
    <w:qFormat/>
    <w:uiPriority w:val="99"/>
    <w:rPr>
      <w:color w:val="808080"/>
    </w:rPr>
  </w:style>
  <w:style w:type="character" w:customStyle="1" w:styleId="76">
    <w:name w:val="MTEquationSection"/>
    <w:basedOn w:val="27"/>
    <w:qFormat/>
    <w:uiPriority w:val="0"/>
    <w:rPr>
      <w:rFonts w:cs="Arial"/>
      <w:bCs/>
      <w:vanish/>
      <w:color w:val="FF0000"/>
      <w:sz w:val="28"/>
      <w:szCs w:val="28"/>
      <w:lang w:eastAsia="zh-CN"/>
    </w:rPr>
  </w:style>
  <w:style w:type="character" w:customStyle="1" w:styleId="77">
    <w:name w:val="MTDisplayEquation Char"/>
    <w:basedOn w:val="27"/>
    <w:link w:val="78"/>
    <w:qFormat/>
    <w:uiPriority w:val="0"/>
    <w:rPr>
      <w:rFonts w:ascii="Times New Roman" w:hAnsi="Times New Roman" w:eastAsia="宋体"/>
    </w:rPr>
  </w:style>
  <w:style w:type="paragraph" w:customStyle="1" w:styleId="78">
    <w:name w:val="MTDisplayEquation"/>
    <w:basedOn w:val="1"/>
    <w:next w:val="1"/>
    <w:link w:val="77"/>
    <w:qFormat/>
    <w:uiPriority w:val="0"/>
    <w:pPr>
      <w:tabs>
        <w:tab w:val="center" w:pos="4680"/>
        <w:tab w:val="right" w:pos="9360"/>
      </w:tabs>
    </w:pPr>
    <w:rPr>
      <w:rFonts w:eastAsia="宋体"/>
      <w:lang w:val="en-US" w:eastAsia="zh-CN"/>
    </w:rPr>
  </w:style>
  <w:style w:type="character" w:customStyle="1" w:styleId="79">
    <w:name w:val="apple-converted-space"/>
    <w:basedOn w:val="27"/>
    <w:qFormat/>
    <w:uiPriority w:val="0"/>
  </w:style>
  <w:style w:type="character" w:customStyle="1" w:styleId="80">
    <w:name w:val="列出段落 Char"/>
    <w:link w:val="81"/>
    <w:qFormat/>
    <w:uiPriority w:val="72"/>
    <w:rPr>
      <w:rFonts w:ascii="宋体" w:hAnsi="宋体" w:eastAsia="宋体" w:cs="宋体"/>
      <w:sz w:val="24"/>
      <w:szCs w:val="24"/>
    </w:rPr>
  </w:style>
  <w:style w:type="paragraph" w:customStyle="1" w:styleId="81">
    <w:name w:val="列出段落1"/>
    <w:basedOn w:val="1"/>
    <w:link w:val="80"/>
    <w:qFormat/>
    <w:uiPriority w:val="72"/>
    <w:pPr>
      <w:overflowPunct/>
      <w:autoSpaceDE/>
      <w:autoSpaceDN/>
      <w:adjustRightInd/>
      <w:spacing w:after="0"/>
      <w:ind w:firstLine="420" w:firstLineChars="200"/>
      <w:textAlignment w:val="auto"/>
    </w:pPr>
    <w:rPr>
      <w:rFonts w:ascii="宋体" w:hAnsi="宋体" w:eastAsia="宋体"/>
      <w:sz w:val="24"/>
      <w:szCs w:val="24"/>
    </w:rPr>
  </w:style>
  <w:style w:type="paragraph" w:customStyle="1" w:styleId="82">
    <w:name w:val="TAL + Left: 125 cm"/>
    <w:basedOn w:val="1"/>
    <w:qFormat/>
    <w:uiPriority w:val="0"/>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83">
    <w:name w:val="Reference"/>
    <w:basedOn w:val="1"/>
    <w:qFormat/>
    <w:uiPriority w:val="0"/>
    <w:pPr>
      <w:tabs>
        <w:tab w:val="left" w:pos="420"/>
      </w:tabs>
      <w:ind w:left="420" w:right="-99" w:hanging="420"/>
    </w:pPr>
    <w:rPr>
      <w:rFonts w:eastAsia="MS Mincho"/>
      <w:sz w:val="22"/>
    </w:rPr>
  </w:style>
  <w:style w:type="paragraph" w:customStyle="1" w:styleId="84">
    <w:name w:val="CR Cover Page"/>
    <w:qFormat/>
    <w:uiPriority w:val="0"/>
    <w:pPr>
      <w:spacing w:after="120" w:line="276" w:lineRule="auto"/>
    </w:pPr>
    <w:rPr>
      <w:rFonts w:ascii="Arial" w:hAnsi="Arial" w:eastAsia="MS Mincho" w:cs="Times New Roman"/>
      <w:lang w:val="en-GB" w:eastAsia="en-US" w:bidi="ar-SA"/>
    </w:rPr>
  </w:style>
  <w:style w:type="paragraph" w:customStyle="1" w:styleId="85">
    <w:name w:val="附图正文"/>
    <w:basedOn w:val="1"/>
    <w:qFormat/>
    <w:uiPriority w:val="0"/>
    <w:pPr>
      <w:widowControl w:val="0"/>
      <w:overflowPunct/>
      <w:autoSpaceDE/>
      <w:autoSpaceDN/>
      <w:snapToGrid w:val="0"/>
      <w:spacing w:after="0"/>
    </w:pPr>
    <w:rPr>
      <w:rFonts w:eastAsia="宋体"/>
      <w:bCs/>
      <w:snapToGrid w:val="0"/>
      <w:sz w:val="28"/>
      <w:lang w:val="en-US" w:eastAsia="zh-CN"/>
    </w:rPr>
  </w:style>
  <w:style w:type="paragraph" w:customStyle="1" w:styleId="86">
    <w:name w:val="修订1"/>
    <w:semiHidden/>
    <w:qFormat/>
    <w:uiPriority w:val="99"/>
    <w:pPr>
      <w:spacing w:after="200" w:line="276" w:lineRule="auto"/>
    </w:pPr>
    <w:rPr>
      <w:rFonts w:ascii="Times New Roman" w:hAnsi="Times New Roman" w:eastAsia="Times New Roman" w:cs="Times New Roman"/>
      <w:lang w:val="en-GB" w:eastAsia="en-US" w:bidi="ar-SA"/>
    </w:rPr>
  </w:style>
  <w:style w:type="paragraph" w:customStyle="1" w:styleId="87">
    <w:name w:val="EQ"/>
    <w:basedOn w:val="1"/>
    <w:next w:val="1"/>
    <w:qFormat/>
    <w:uiPriority w:val="0"/>
    <w:pPr>
      <w:keepLines/>
      <w:tabs>
        <w:tab w:val="center" w:pos="4536"/>
        <w:tab w:val="right" w:pos="9072"/>
      </w:tabs>
    </w:pPr>
    <w:rPr>
      <w:lang w:val="en-US" w:eastAsia="en-GB"/>
    </w:rPr>
  </w:style>
  <w:style w:type="paragraph" w:customStyle="1" w:styleId="88">
    <w:name w:val="doc-text2"/>
    <w:basedOn w:val="1"/>
    <w:qFormat/>
    <w:uiPriority w:val="0"/>
    <w:pPr>
      <w:overflowPunct/>
      <w:autoSpaceDE/>
      <w:autoSpaceDN/>
      <w:adjustRightInd/>
      <w:spacing w:after="0"/>
      <w:ind w:left="1622" w:hanging="363"/>
      <w:textAlignment w:val="auto"/>
    </w:pPr>
    <w:rPr>
      <w:rFonts w:ascii="Arial" w:hAnsi="Arial" w:eastAsia="宋体" w:cs="Arial"/>
      <w:lang w:val="en-US" w:eastAsia="zh-CN"/>
    </w:rPr>
  </w:style>
  <w:style w:type="paragraph" w:customStyle="1" w:styleId="89">
    <w:name w:val="List Paragraph1"/>
    <w:basedOn w:val="1"/>
    <w:qFormat/>
    <w:uiPriority w:val="34"/>
    <w:pPr>
      <w:ind w:left="720"/>
      <w:contextualSpacing/>
    </w:pPr>
  </w:style>
  <w:style w:type="paragraph" w:customStyle="1" w:styleId="90">
    <w:name w:val="Char Char13 (文字) (文字) Char Char"/>
    <w:basedOn w:val="1"/>
    <w:qFormat/>
    <w:uiPriority w:val="0"/>
    <w:pPr>
      <w:widowControl w:val="0"/>
      <w:overflowPunct/>
      <w:autoSpaceDE/>
      <w:autoSpaceDN/>
      <w:adjustRightInd/>
      <w:spacing w:after="0"/>
      <w:textAlignment w:val="auto"/>
    </w:pPr>
    <w:rPr>
      <w:rFonts w:eastAsia="宋体"/>
      <w:kern w:val="2"/>
      <w:sz w:val="21"/>
      <w:szCs w:val="24"/>
      <w:lang w:val="en-US" w:eastAsia="zh-CN"/>
    </w:rPr>
  </w:style>
  <w:style w:type="paragraph" w:customStyle="1" w:styleId="91">
    <w:name w:val="Style Numbered (Latin) Bold Before:  0 cm Hanging:  063 cm"/>
    <w:next w:val="24"/>
    <w:qFormat/>
    <w:uiPriority w:val="0"/>
    <w:pPr>
      <w:tabs>
        <w:tab w:val="left" w:pos="360"/>
      </w:tabs>
      <w:spacing w:after="200" w:line="276" w:lineRule="auto"/>
      <w:ind w:left="360" w:hanging="360"/>
    </w:pPr>
    <w:rPr>
      <w:rFonts w:ascii="Times New Roman" w:hAnsi="Times New Roman" w:eastAsia="MS Mincho" w:cs="Times New Roman"/>
      <w:lang w:val="en-GB" w:eastAsia="en-US" w:bidi="ar-SA"/>
    </w:rPr>
  </w:style>
  <w:style w:type="paragraph" w:customStyle="1" w:styleId="92">
    <w:name w:val="Observation"/>
    <w:basedOn w:val="1"/>
    <w:qFormat/>
    <w:uiPriority w:val="0"/>
    <w:pPr>
      <w:tabs>
        <w:tab w:val="left" w:pos="1701"/>
      </w:tabs>
      <w:spacing w:after="120"/>
      <w:ind w:left="360" w:hanging="360"/>
    </w:pPr>
    <w:rPr>
      <w:rFonts w:ascii="Arial" w:hAnsi="Arial" w:eastAsia="宋体"/>
      <w:b/>
      <w:bCs/>
      <w:lang w:eastAsia="zh-CN"/>
    </w:rPr>
  </w:style>
  <w:style w:type="paragraph" w:customStyle="1" w:styleId="93">
    <w:name w:val="3GPP_Header"/>
    <w:basedOn w:val="1"/>
    <w:qFormat/>
    <w:uiPriority w:val="0"/>
    <w:pPr>
      <w:tabs>
        <w:tab w:val="left" w:pos="1701"/>
        <w:tab w:val="right" w:pos="9639"/>
      </w:tabs>
      <w:spacing w:after="240"/>
    </w:pPr>
    <w:rPr>
      <w:rFonts w:ascii="Arial" w:hAnsi="Arial"/>
      <w:b/>
      <w:sz w:val="24"/>
      <w:lang w:eastAsia="zh-CN"/>
    </w:rPr>
  </w:style>
  <w:style w:type="paragraph" w:customStyle="1" w:styleId="94">
    <w:name w:val="TAL + Left: 1"/>
    <w:basedOn w:val="47"/>
    <w:qFormat/>
    <w:uiPriority w:val="0"/>
    <w:pPr>
      <w:ind w:left="567"/>
    </w:pPr>
    <w:rPr>
      <w:lang w:eastAsia="en-US"/>
    </w:rPr>
  </w:style>
  <w:style w:type="paragraph" w:customStyle="1" w:styleId="95">
    <w:name w:val="TF"/>
    <w:basedOn w:val="44"/>
    <w:qFormat/>
    <w:uiPriority w:val="0"/>
    <w:pPr>
      <w:keepNext w:val="0"/>
      <w:spacing w:before="0" w:after="240"/>
    </w:pPr>
  </w:style>
  <w:style w:type="paragraph" w:customStyle="1" w:styleId="96">
    <w:name w:val="ZT"/>
    <w:qFormat/>
    <w:uiPriority w:val="0"/>
    <w:pPr>
      <w:framePr w:wrap="notBeside" w:vAnchor="margin" w:hAnchor="margin" w:yAlign="center"/>
      <w:widowControl w:val="0"/>
      <w:spacing w:after="200" w:line="240" w:lineRule="atLeast"/>
      <w:jc w:val="right"/>
    </w:pPr>
    <w:rPr>
      <w:rFonts w:ascii="Arial" w:hAnsi="Arial" w:eastAsia="Batang" w:cs="Times New Roman"/>
      <w:b/>
      <w:sz w:val="34"/>
      <w:lang w:val="en-GB" w:eastAsia="en-US" w:bidi="ar-SA"/>
    </w:rPr>
  </w:style>
  <w:style w:type="paragraph" w:customStyle="1" w:styleId="97">
    <w:name w:val="ACTION"/>
    <w:basedOn w:val="1"/>
    <w:qFormat/>
    <w:uiPriority w:val="0"/>
    <w:pPr>
      <w:keepNext/>
      <w:keepLines/>
      <w:widowControl w:val="0"/>
      <w:pBdr>
        <w:top w:val="single" w:color="FF0000" w:sz="6" w:space="1"/>
        <w:left w:val="single" w:color="FF0000" w:sz="6" w:space="4"/>
        <w:bottom w:val="single" w:color="FF0000" w:sz="6" w:space="1"/>
        <w:right w:val="single" w:color="FF0000" w:sz="6" w:space="4"/>
      </w:pBdr>
      <w:tabs>
        <w:tab w:val="left" w:pos="1843"/>
      </w:tabs>
      <w:overflowPunct/>
      <w:autoSpaceDE/>
      <w:autoSpaceDN/>
      <w:adjustRightInd/>
      <w:spacing w:before="60" w:after="60"/>
      <w:ind w:left="1843" w:hanging="992"/>
      <w:textAlignment w:val="auto"/>
    </w:pPr>
    <w:rPr>
      <w:rFonts w:ascii="Arial" w:hAnsi="Arial" w:eastAsia="MS Mincho"/>
      <w:b/>
      <w:color w:val="FF0000"/>
    </w:rPr>
  </w:style>
  <w:style w:type="paragraph" w:customStyle="1" w:styleId="98">
    <w:name w:val="_Style 1"/>
    <w:basedOn w:val="1"/>
    <w:qFormat/>
    <w:uiPriority w:val="72"/>
    <w:pPr>
      <w:overflowPunct/>
      <w:autoSpaceDE/>
      <w:autoSpaceDN/>
      <w:adjustRightInd/>
      <w:spacing w:after="0"/>
      <w:ind w:firstLine="420" w:firstLineChars="200"/>
      <w:textAlignment w:val="auto"/>
    </w:pPr>
    <w:rPr>
      <w:rFonts w:ascii="宋体" w:hAnsi="宋体" w:eastAsia="宋体"/>
      <w:sz w:val="24"/>
      <w:szCs w:val="24"/>
    </w:rPr>
  </w:style>
  <w:style w:type="character" w:customStyle="1" w:styleId="99">
    <w:name w:val="正文文本 Char"/>
    <w:basedOn w:val="27"/>
    <w:link w:val="17"/>
    <w:qFormat/>
    <w:uiPriority w:val="0"/>
    <w:rPr>
      <w:rFonts w:eastAsia="MS Mincho"/>
      <w:lang w:val="en-GB" w:eastAsia="en-US"/>
    </w:rPr>
  </w:style>
  <w:style w:type="paragraph" w:customStyle="1" w:styleId="100">
    <w:name w:val="List Paragraph2"/>
    <w:basedOn w:val="1"/>
    <w:qFormat/>
    <w:uiPriority w:val="99"/>
    <w:pPr>
      <w:ind w:firstLine="420" w:firstLineChars="200"/>
    </w:pPr>
  </w:style>
  <w:style w:type="paragraph" w:customStyle="1" w:styleId="101">
    <w:name w:val="列出段落2"/>
    <w:basedOn w:val="1"/>
    <w:unhideWhenUsed/>
    <w:qFormat/>
    <w:uiPriority w:val="99"/>
    <w:pPr>
      <w:ind w:left="720"/>
      <w:contextualSpacing/>
    </w:pPr>
  </w:style>
  <w:style w:type="paragraph" w:customStyle="1" w:styleId="102">
    <w:name w:val="列出段落3"/>
    <w:basedOn w:val="1"/>
    <w:qFormat/>
    <w:uiPriority w:val="99"/>
    <w:pPr>
      <w:ind w:firstLine="420" w:firstLineChars="200"/>
    </w:pPr>
  </w:style>
  <w:style w:type="paragraph" w:customStyle="1" w:styleId="103">
    <w:name w:val="列出段落4"/>
    <w:basedOn w:val="1"/>
    <w:qFormat/>
    <w:uiPriority w:val="34"/>
    <w:pPr>
      <w:ind w:firstLine="420" w:firstLineChars="200"/>
    </w:pPr>
  </w:style>
  <w:style w:type="paragraph" w:customStyle="1" w:styleId="104">
    <w:name w:val="列出段落5"/>
    <w:basedOn w:val="1"/>
    <w:qFormat/>
    <w:uiPriority w:val="99"/>
    <w:pPr>
      <w:ind w:firstLine="420" w:firstLineChars="200"/>
    </w:pPr>
  </w:style>
  <w:style w:type="paragraph" w:customStyle="1" w:styleId="105">
    <w:name w:val="References"/>
    <w:basedOn w:val="1"/>
    <w:qFormat/>
    <w:uiPriority w:val="0"/>
    <w:pPr>
      <w:numPr>
        <w:ilvl w:val="0"/>
        <w:numId w:val="2"/>
      </w:numPr>
      <w:overflowPunct/>
      <w:adjustRightInd/>
      <w:snapToGrid w:val="0"/>
      <w:spacing w:after="60" w:line="240" w:lineRule="auto"/>
      <w:textAlignment w:val="auto"/>
    </w:pPr>
    <w:rPr>
      <w:rFonts w:eastAsia="宋体"/>
      <w:szCs w:val="16"/>
      <w:lang w:val="en-US"/>
    </w:rPr>
  </w:style>
  <w:style w:type="paragraph" w:customStyle="1" w:styleId="106">
    <w:name w:val="Comments"/>
    <w:basedOn w:val="1"/>
    <w:qFormat/>
    <w:uiPriority w:val="0"/>
    <w:pPr>
      <w:widowControl w:val="0"/>
      <w:overflowPunct/>
      <w:autoSpaceDE/>
      <w:autoSpaceDN/>
      <w:adjustRightInd/>
      <w:spacing w:before="40" w:after="100" w:afterAutospacing="1" w:line="240" w:lineRule="auto"/>
      <w:textAlignment w:val="auto"/>
    </w:pPr>
    <w:rPr>
      <w:rFonts w:ascii="Arial" w:hAnsi="Arial" w:eastAsia="MS Mincho"/>
      <w:i/>
      <w:iCs/>
      <w:kern w:val="2"/>
      <w:sz w:val="18"/>
      <w:szCs w:val="18"/>
      <w:lang w:val="en-US" w:eastAsia="zh-CN"/>
    </w:rPr>
  </w:style>
  <w:style w:type="paragraph" w:styleId="107">
    <w:name w:val="List Paragraph"/>
    <w:basedOn w:val="1"/>
    <w:qFormat/>
    <w:uiPriority w:val="34"/>
    <w:pPr>
      <w:ind w:left="840" w:leftChars="400"/>
    </w:pPr>
  </w:style>
</w:styles>
</file>

<file path=word/_rels/document.xml.rels><?xml version="1.0" encoding="UTF-8" standalone="yes"?>
<Relationships xmlns="http://schemas.openxmlformats.org/package/2006/relationships"><Relationship Id="rId9" Type="http://schemas.openxmlformats.org/officeDocument/2006/relationships/chart" Target="charts/chart1.xml"/><Relationship Id="rId8" Type="http://schemas.openxmlformats.org/officeDocument/2006/relationships/image" Target="media/image2.wmf"/><Relationship Id="rId7" Type="http://schemas.openxmlformats.org/officeDocument/2006/relationships/oleObject" Target="embeddings/oleObject2.bin"/><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4" Type="http://schemas.microsoft.com/office/2011/relationships/chartColorStyle" Target="colors1.xml"/><Relationship Id="rId3" Type="http://schemas.microsoft.com/office/2011/relationships/chartStyle" Target="style1.xml"/><Relationship Id="rId2" Type="http://schemas.openxmlformats.org/officeDocument/2006/relationships/chartUserShapes" Target="../drawings/drawing1.xml"/><Relationship Id="rId1" Type="http://schemas.openxmlformats.org/officeDocument/2006/relationships/oleObject" Target="file:///C:\Users\10184102\Desktop\R16\RAN1_AH1901\Simulation%20results_v5.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20291216533584"/>
          <c:y val="0.139104797641383"/>
          <c:w val="0.657069046500705"/>
          <c:h val="0.790726346823908"/>
        </c:manualLayout>
      </c:layout>
      <c:lineChart>
        <c:grouping val="standard"/>
        <c:varyColors val="0"/>
        <c:ser>
          <c:idx val="0"/>
          <c:order val="0"/>
          <c:tx>
            <c:strRef>
              <c:f>'[Simulation results_v5.xlsx]Sheet2'!$D$5</c:f>
              <c:strCache>
                <c:ptCount val="1"/>
                <c:pt idx="0">
                  <c:v>Sequence based, AL=1</c:v>
                </c:pt>
              </c:strCache>
            </c:strRef>
          </c:tx>
          <c:spPr>
            <a:ln w="38100" cap="rnd">
              <a:solidFill>
                <a:srgbClr val="FFC000"/>
              </a:solidFill>
              <a:round/>
            </a:ln>
            <a:effectLst/>
          </c:spPr>
          <c:marker>
            <c:symbol val="circle"/>
            <c:size val="8"/>
            <c:spPr>
              <a:solidFill>
                <a:srgbClr val="FFC000"/>
              </a:solidFill>
              <a:ln>
                <a:noFill/>
              </a:ln>
              <a:effectLst/>
            </c:spPr>
          </c:marker>
          <c:dLbls>
            <c:delete val="1"/>
          </c:dLbls>
          <c:cat>
            <c:numRef>
              <c:f>'[Simulation results_v5.xlsx]Sheet2'!$C$6:$C$38</c:f>
              <c:numCache>
                <c:formatCode>General</c:formatCode>
                <c:ptCount val="29"/>
                <c:pt idx="0">
                  <c:v>-16</c:v>
                </c:pt>
                <c:pt idx="1">
                  <c:v>-15</c:v>
                </c:pt>
                <c:pt idx="2">
                  <c:v>-14</c:v>
                </c:pt>
                <c:pt idx="3">
                  <c:v>-13</c:v>
                </c:pt>
                <c:pt idx="4">
                  <c:v>-12</c:v>
                </c:pt>
                <c:pt idx="5">
                  <c:v>-11</c:v>
                </c:pt>
                <c:pt idx="6">
                  <c:v>-10</c:v>
                </c:pt>
                <c:pt idx="7">
                  <c:v>-9</c:v>
                </c:pt>
                <c:pt idx="8">
                  <c:v>-8</c:v>
                </c:pt>
                <c:pt idx="9">
                  <c:v>-7</c:v>
                </c:pt>
                <c:pt idx="10">
                  <c:v>-6</c:v>
                </c:pt>
                <c:pt idx="11">
                  <c:v>-5</c:v>
                </c:pt>
                <c:pt idx="12">
                  <c:v>-4</c:v>
                </c:pt>
                <c:pt idx="13">
                  <c:v>-3</c:v>
                </c:pt>
                <c:pt idx="14">
                  <c:v>-2</c:v>
                </c:pt>
                <c:pt idx="15">
                  <c:v>-1</c:v>
                </c:pt>
                <c:pt idx="16">
                  <c:v>0</c:v>
                </c:pt>
                <c:pt idx="17">
                  <c:v>1</c:v>
                </c:pt>
                <c:pt idx="18">
                  <c:v>2</c:v>
                </c:pt>
                <c:pt idx="19">
                  <c:v>3</c:v>
                </c:pt>
                <c:pt idx="20">
                  <c:v>4</c:v>
                </c:pt>
                <c:pt idx="21">
                  <c:v>5</c:v>
                </c:pt>
                <c:pt idx="22">
                  <c:v>6</c:v>
                </c:pt>
                <c:pt idx="23">
                  <c:v>7</c:v>
                </c:pt>
                <c:pt idx="24">
                  <c:v>8</c:v>
                </c:pt>
                <c:pt idx="25">
                  <c:v>9</c:v>
                </c:pt>
                <c:pt idx="26">
                  <c:v>10</c:v>
                </c:pt>
                <c:pt idx="27">
                  <c:v>11</c:v>
                </c:pt>
                <c:pt idx="28">
                  <c:v>12</c:v>
                </c:pt>
              </c:numCache>
            </c:numRef>
          </c:cat>
          <c:val>
            <c:numRef>
              <c:f>Sheet2!$D$6:$D$30</c:f>
              <c:numCache>
                <c:formatCode>General</c:formatCode>
                <c:ptCount val="21"/>
                <c:pt idx="8">
                  <c:v>0.3406</c:v>
                </c:pt>
                <c:pt idx="10">
                  <c:v>0.1697</c:v>
                </c:pt>
                <c:pt idx="12">
                  <c:v>0.0943</c:v>
                </c:pt>
                <c:pt idx="14">
                  <c:v>0.031</c:v>
                </c:pt>
                <c:pt idx="16">
                  <c:v>0.0073</c:v>
                </c:pt>
                <c:pt idx="18">
                  <c:v>0.0022</c:v>
                </c:pt>
                <c:pt idx="20" c:formatCode="0.00E+00">
                  <c:v>0.000125</c:v>
                </c:pt>
              </c:numCache>
            </c:numRef>
          </c:val>
          <c:smooth val="0"/>
        </c:ser>
        <c:ser>
          <c:idx val="1"/>
          <c:order val="1"/>
          <c:tx>
            <c:strRef>
              <c:f>'[Simulation results_v5.xlsx]Sheet2'!$E$5</c:f>
              <c:strCache>
                <c:ptCount val="1"/>
                <c:pt idx="0">
                  <c:v>Sequence based, AL=2</c:v>
                </c:pt>
              </c:strCache>
            </c:strRef>
          </c:tx>
          <c:spPr>
            <a:ln w="38100" cap="rnd">
              <a:solidFill>
                <a:srgbClr val="C00000"/>
              </a:solidFill>
              <a:round/>
            </a:ln>
            <a:effectLst/>
          </c:spPr>
          <c:marker>
            <c:symbol val="circle"/>
            <c:size val="8"/>
            <c:spPr>
              <a:solidFill>
                <a:schemeClr val="accent2"/>
              </a:solidFill>
              <a:ln>
                <a:noFill/>
              </a:ln>
              <a:effectLst/>
            </c:spPr>
          </c:marker>
          <c:dLbls>
            <c:delete val="1"/>
          </c:dLbls>
          <c:cat>
            <c:numRef>
              <c:f>'[Simulation results_v5.xlsx]Sheet2'!$C$6:$C$38</c:f>
              <c:numCache>
                <c:formatCode>General</c:formatCode>
                <c:ptCount val="29"/>
                <c:pt idx="0">
                  <c:v>-16</c:v>
                </c:pt>
                <c:pt idx="1">
                  <c:v>-15</c:v>
                </c:pt>
                <c:pt idx="2">
                  <c:v>-14</c:v>
                </c:pt>
                <c:pt idx="3">
                  <c:v>-13</c:v>
                </c:pt>
                <c:pt idx="4">
                  <c:v>-12</c:v>
                </c:pt>
                <c:pt idx="5">
                  <c:v>-11</c:v>
                </c:pt>
                <c:pt idx="6">
                  <c:v>-10</c:v>
                </c:pt>
                <c:pt idx="7">
                  <c:v>-9</c:v>
                </c:pt>
                <c:pt idx="8">
                  <c:v>-8</c:v>
                </c:pt>
                <c:pt idx="9">
                  <c:v>-7</c:v>
                </c:pt>
                <c:pt idx="10">
                  <c:v>-6</c:v>
                </c:pt>
                <c:pt idx="11">
                  <c:v>-5</c:v>
                </c:pt>
                <c:pt idx="12">
                  <c:v>-4</c:v>
                </c:pt>
                <c:pt idx="13">
                  <c:v>-3</c:v>
                </c:pt>
                <c:pt idx="14">
                  <c:v>-2</c:v>
                </c:pt>
                <c:pt idx="15">
                  <c:v>-1</c:v>
                </c:pt>
                <c:pt idx="16">
                  <c:v>0</c:v>
                </c:pt>
                <c:pt idx="17">
                  <c:v>1</c:v>
                </c:pt>
                <c:pt idx="18">
                  <c:v>2</c:v>
                </c:pt>
                <c:pt idx="19">
                  <c:v>3</c:v>
                </c:pt>
                <c:pt idx="20">
                  <c:v>4</c:v>
                </c:pt>
                <c:pt idx="21">
                  <c:v>5</c:v>
                </c:pt>
                <c:pt idx="22">
                  <c:v>6</c:v>
                </c:pt>
                <c:pt idx="23">
                  <c:v>7</c:v>
                </c:pt>
                <c:pt idx="24">
                  <c:v>8</c:v>
                </c:pt>
                <c:pt idx="25">
                  <c:v>9</c:v>
                </c:pt>
                <c:pt idx="26">
                  <c:v>10</c:v>
                </c:pt>
                <c:pt idx="27">
                  <c:v>11</c:v>
                </c:pt>
                <c:pt idx="28">
                  <c:v>12</c:v>
                </c:pt>
              </c:numCache>
            </c:numRef>
          </c:cat>
          <c:val>
            <c:numRef>
              <c:f>Sheet2!$E$6:$E$28</c:f>
              <c:numCache>
                <c:formatCode>General</c:formatCode>
                <c:ptCount val="19"/>
                <c:pt idx="6">
                  <c:v>0.2169</c:v>
                </c:pt>
                <c:pt idx="8">
                  <c:v>0.0853</c:v>
                </c:pt>
                <c:pt idx="10">
                  <c:v>0.0252</c:v>
                </c:pt>
                <c:pt idx="12" c:formatCode="0.00E+00">
                  <c:v>0.0064</c:v>
                </c:pt>
                <c:pt idx="14" c:formatCode="0.00E+00">
                  <c:v>0.00073</c:v>
                </c:pt>
                <c:pt idx="16" c:formatCode="0.00E+00">
                  <c:v>2.5e-5</c:v>
                </c:pt>
              </c:numCache>
            </c:numRef>
          </c:val>
          <c:smooth val="0"/>
        </c:ser>
        <c:ser>
          <c:idx val="2"/>
          <c:order val="2"/>
          <c:tx>
            <c:strRef>
              <c:f>'[Simulation results_v5.xlsx]Sheet2'!$F$5</c:f>
              <c:strCache>
                <c:ptCount val="1"/>
                <c:pt idx="0">
                  <c:v>Sequence based, AL=4</c:v>
                </c:pt>
              </c:strCache>
            </c:strRef>
          </c:tx>
          <c:spPr>
            <a:ln w="38100" cap="rnd">
              <a:solidFill>
                <a:schemeClr val="accent3"/>
              </a:solidFill>
              <a:round/>
            </a:ln>
            <a:effectLst/>
          </c:spPr>
          <c:marker>
            <c:symbol val="circle"/>
            <c:size val="8"/>
            <c:spPr>
              <a:solidFill>
                <a:schemeClr val="accent3"/>
              </a:solidFill>
              <a:ln>
                <a:noFill/>
              </a:ln>
              <a:effectLst/>
            </c:spPr>
          </c:marker>
          <c:dLbls>
            <c:delete val="1"/>
          </c:dLbls>
          <c:cat>
            <c:numRef>
              <c:f>'[Simulation results_v5.xlsx]Sheet2'!$C$6:$C$38</c:f>
              <c:numCache>
                <c:formatCode>General</c:formatCode>
                <c:ptCount val="29"/>
                <c:pt idx="0">
                  <c:v>-16</c:v>
                </c:pt>
                <c:pt idx="1">
                  <c:v>-15</c:v>
                </c:pt>
                <c:pt idx="2">
                  <c:v>-14</c:v>
                </c:pt>
                <c:pt idx="3">
                  <c:v>-13</c:v>
                </c:pt>
                <c:pt idx="4">
                  <c:v>-12</c:v>
                </c:pt>
                <c:pt idx="5">
                  <c:v>-11</c:v>
                </c:pt>
                <c:pt idx="6">
                  <c:v>-10</c:v>
                </c:pt>
                <c:pt idx="7">
                  <c:v>-9</c:v>
                </c:pt>
                <c:pt idx="8">
                  <c:v>-8</c:v>
                </c:pt>
                <c:pt idx="9">
                  <c:v>-7</c:v>
                </c:pt>
                <c:pt idx="10">
                  <c:v>-6</c:v>
                </c:pt>
                <c:pt idx="11">
                  <c:v>-5</c:v>
                </c:pt>
                <c:pt idx="12">
                  <c:v>-4</c:v>
                </c:pt>
                <c:pt idx="13">
                  <c:v>-3</c:v>
                </c:pt>
                <c:pt idx="14">
                  <c:v>-2</c:v>
                </c:pt>
                <c:pt idx="15">
                  <c:v>-1</c:v>
                </c:pt>
                <c:pt idx="16">
                  <c:v>0</c:v>
                </c:pt>
                <c:pt idx="17">
                  <c:v>1</c:v>
                </c:pt>
                <c:pt idx="18">
                  <c:v>2</c:v>
                </c:pt>
                <c:pt idx="19">
                  <c:v>3</c:v>
                </c:pt>
                <c:pt idx="20">
                  <c:v>4</c:v>
                </c:pt>
                <c:pt idx="21">
                  <c:v>5</c:v>
                </c:pt>
                <c:pt idx="22">
                  <c:v>6</c:v>
                </c:pt>
                <c:pt idx="23">
                  <c:v>7</c:v>
                </c:pt>
                <c:pt idx="24">
                  <c:v>8</c:v>
                </c:pt>
                <c:pt idx="25">
                  <c:v>9</c:v>
                </c:pt>
                <c:pt idx="26">
                  <c:v>10</c:v>
                </c:pt>
                <c:pt idx="27">
                  <c:v>11</c:v>
                </c:pt>
                <c:pt idx="28">
                  <c:v>12</c:v>
                </c:pt>
              </c:numCache>
            </c:numRef>
          </c:cat>
          <c:val>
            <c:numRef>
              <c:f>Sheet2!$F$6:$F$28</c:f>
              <c:numCache>
                <c:formatCode>General</c:formatCode>
                <c:ptCount val="19"/>
                <c:pt idx="4">
                  <c:v>0.3112</c:v>
                </c:pt>
                <c:pt idx="6">
                  <c:v>0.0813</c:v>
                </c:pt>
                <c:pt idx="8">
                  <c:v>0.022</c:v>
                </c:pt>
                <c:pt idx="10">
                  <c:v>0.0021</c:v>
                </c:pt>
                <c:pt idx="12" c:formatCode="0.00E+00">
                  <c:v>0.000165</c:v>
                </c:pt>
              </c:numCache>
            </c:numRef>
          </c:val>
          <c:smooth val="0"/>
        </c:ser>
        <c:ser>
          <c:idx val="3"/>
          <c:order val="3"/>
          <c:tx>
            <c:strRef>
              <c:f>'[Simulation results_v5.xlsx]Sheet2'!$G$5</c:f>
              <c:strCache>
                <c:ptCount val="1"/>
                <c:pt idx="0">
                  <c:v>Sequence based, AL=8</c:v>
                </c:pt>
              </c:strCache>
            </c:strRef>
          </c:tx>
          <c:spPr>
            <a:ln w="38100" cap="rnd">
              <a:solidFill>
                <a:schemeClr val="accent4"/>
              </a:solidFill>
              <a:round/>
            </a:ln>
            <a:effectLst/>
          </c:spPr>
          <c:marker>
            <c:symbol val="circle"/>
            <c:size val="8"/>
            <c:spPr>
              <a:solidFill>
                <a:schemeClr val="accent4"/>
              </a:solidFill>
              <a:ln>
                <a:noFill/>
              </a:ln>
              <a:effectLst/>
            </c:spPr>
          </c:marker>
          <c:dLbls>
            <c:delete val="1"/>
          </c:dLbls>
          <c:cat>
            <c:numRef>
              <c:f>'[Simulation results_v5.xlsx]Sheet2'!$C$6:$C$38</c:f>
              <c:numCache>
                <c:formatCode>General</c:formatCode>
                <c:ptCount val="29"/>
                <c:pt idx="0">
                  <c:v>-16</c:v>
                </c:pt>
                <c:pt idx="1">
                  <c:v>-15</c:v>
                </c:pt>
                <c:pt idx="2">
                  <c:v>-14</c:v>
                </c:pt>
                <c:pt idx="3">
                  <c:v>-13</c:v>
                </c:pt>
                <c:pt idx="4">
                  <c:v>-12</c:v>
                </c:pt>
                <c:pt idx="5">
                  <c:v>-11</c:v>
                </c:pt>
                <c:pt idx="6">
                  <c:v>-10</c:v>
                </c:pt>
                <c:pt idx="7">
                  <c:v>-9</c:v>
                </c:pt>
                <c:pt idx="8">
                  <c:v>-8</c:v>
                </c:pt>
                <c:pt idx="9">
                  <c:v>-7</c:v>
                </c:pt>
                <c:pt idx="10">
                  <c:v>-6</c:v>
                </c:pt>
                <c:pt idx="11">
                  <c:v>-5</c:v>
                </c:pt>
                <c:pt idx="12">
                  <c:v>-4</c:v>
                </c:pt>
                <c:pt idx="13">
                  <c:v>-3</c:v>
                </c:pt>
                <c:pt idx="14">
                  <c:v>-2</c:v>
                </c:pt>
                <c:pt idx="15">
                  <c:v>-1</c:v>
                </c:pt>
                <c:pt idx="16">
                  <c:v>0</c:v>
                </c:pt>
                <c:pt idx="17">
                  <c:v>1</c:v>
                </c:pt>
                <c:pt idx="18">
                  <c:v>2</c:v>
                </c:pt>
                <c:pt idx="19">
                  <c:v>3</c:v>
                </c:pt>
                <c:pt idx="20">
                  <c:v>4</c:v>
                </c:pt>
                <c:pt idx="21">
                  <c:v>5</c:v>
                </c:pt>
                <c:pt idx="22">
                  <c:v>6</c:v>
                </c:pt>
                <c:pt idx="23">
                  <c:v>7</c:v>
                </c:pt>
                <c:pt idx="24">
                  <c:v>8</c:v>
                </c:pt>
                <c:pt idx="25">
                  <c:v>9</c:v>
                </c:pt>
                <c:pt idx="26">
                  <c:v>10</c:v>
                </c:pt>
                <c:pt idx="27">
                  <c:v>11</c:v>
                </c:pt>
                <c:pt idx="28">
                  <c:v>12</c:v>
                </c:pt>
              </c:numCache>
            </c:numRef>
          </c:cat>
          <c:val>
            <c:numRef>
              <c:f>Sheet2!$G$6:$G$28</c:f>
              <c:numCache>
                <c:formatCode>General</c:formatCode>
                <c:ptCount val="19"/>
                <c:pt idx="2">
                  <c:v>0.2298</c:v>
                </c:pt>
                <c:pt idx="4">
                  <c:v>0.0367</c:v>
                </c:pt>
                <c:pt idx="6" c:formatCode="0.00E+00">
                  <c:v>0.0032</c:v>
                </c:pt>
                <c:pt idx="8" c:formatCode="0.00E+00">
                  <c:v>5.5e-5</c:v>
                </c:pt>
              </c:numCache>
            </c:numRef>
          </c:val>
          <c:smooth val="0"/>
        </c:ser>
        <c:ser>
          <c:idx val="4"/>
          <c:order val="4"/>
          <c:tx>
            <c:strRef>
              <c:f>'[Simulation results_v5.xlsx]Sheet2'!$H$5</c:f>
              <c:strCache>
                <c:ptCount val="1"/>
                <c:pt idx="0">
                  <c:v>Sequence based, AL=16</c:v>
                </c:pt>
              </c:strCache>
            </c:strRef>
          </c:tx>
          <c:spPr>
            <a:ln w="38100" cap="rnd">
              <a:solidFill>
                <a:srgbClr val="0070C0"/>
              </a:solidFill>
              <a:round/>
            </a:ln>
            <a:effectLst/>
          </c:spPr>
          <c:marker>
            <c:symbol val="circle"/>
            <c:size val="8"/>
            <c:spPr>
              <a:solidFill>
                <a:srgbClr val="0070C0"/>
              </a:solidFill>
              <a:ln>
                <a:noFill/>
              </a:ln>
              <a:effectLst/>
            </c:spPr>
          </c:marker>
          <c:dLbls>
            <c:delete val="1"/>
          </c:dLbls>
          <c:cat>
            <c:numRef>
              <c:f>'[Simulation results_v5.xlsx]Sheet2'!$C$6:$C$38</c:f>
              <c:numCache>
                <c:formatCode>General</c:formatCode>
                <c:ptCount val="29"/>
                <c:pt idx="0">
                  <c:v>-16</c:v>
                </c:pt>
                <c:pt idx="1">
                  <c:v>-15</c:v>
                </c:pt>
                <c:pt idx="2">
                  <c:v>-14</c:v>
                </c:pt>
                <c:pt idx="3">
                  <c:v>-13</c:v>
                </c:pt>
                <c:pt idx="4">
                  <c:v>-12</c:v>
                </c:pt>
                <c:pt idx="5">
                  <c:v>-11</c:v>
                </c:pt>
                <c:pt idx="6">
                  <c:v>-10</c:v>
                </c:pt>
                <c:pt idx="7">
                  <c:v>-9</c:v>
                </c:pt>
                <c:pt idx="8">
                  <c:v>-8</c:v>
                </c:pt>
                <c:pt idx="9">
                  <c:v>-7</c:v>
                </c:pt>
                <c:pt idx="10">
                  <c:v>-6</c:v>
                </c:pt>
                <c:pt idx="11">
                  <c:v>-5</c:v>
                </c:pt>
                <c:pt idx="12">
                  <c:v>-4</c:v>
                </c:pt>
                <c:pt idx="13">
                  <c:v>-3</c:v>
                </c:pt>
                <c:pt idx="14">
                  <c:v>-2</c:v>
                </c:pt>
                <c:pt idx="15">
                  <c:v>-1</c:v>
                </c:pt>
                <c:pt idx="16">
                  <c:v>0</c:v>
                </c:pt>
                <c:pt idx="17">
                  <c:v>1</c:v>
                </c:pt>
                <c:pt idx="18">
                  <c:v>2</c:v>
                </c:pt>
                <c:pt idx="19">
                  <c:v>3</c:v>
                </c:pt>
                <c:pt idx="20">
                  <c:v>4</c:v>
                </c:pt>
                <c:pt idx="21">
                  <c:v>5</c:v>
                </c:pt>
                <c:pt idx="22">
                  <c:v>6</c:v>
                </c:pt>
                <c:pt idx="23">
                  <c:v>7</c:v>
                </c:pt>
                <c:pt idx="24">
                  <c:v>8</c:v>
                </c:pt>
                <c:pt idx="25">
                  <c:v>9</c:v>
                </c:pt>
                <c:pt idx="26">
                  <c:v>10</c:v>
                </c:pt>
                <c:pt idx="27">
                  <c:v>11</c:v>
                </c:pt>
                <c:pt idx="28">
                  <c:v>12</c:v>
                </c:pt>
              </c:numCache>
            </c:numRef>
          </c:cat>
          <c:val>
            <c:numRef>
              <c:f>Sheet2!$H$6:$H$28</c:f>
              <c:numCache>
                <c:formatCode>General</c:formatCode>
                <c:ptCount val="19"/>
                <c:pt idx="0">
                  <c:v>0.1718</c:v>
                </c:pt>
                <c:pt idx="2">
                  <c:v>0.0307</c:v>
                </c:pt>
                <c:pt idx="4">
                  <c:v>0.0023</c:v>
                </c:pt>
                <c:pt idx="6" c:formatCode="0.00E+00">
                  <c:v>2.5e-5</c:v>
                </c:pt>
              </c:numCache>
            </c:numRef>
          </c:val>
          <c:smooth val="0"/>
        </c:ser>
        <c:ser>
          <c:idx val="5"/>
          <c:order val="5"/>
          <c:tx>
            <c:strRef>
              <c:f>'[Simulation results_v5.xlsx]Sheet2'!$I$5</c:f>
              <c:strCache>
                <c:ptCount val="1"/>
                <c:pt idx="0">
                  <c:v>DCI based, AL=1 </c:v>
                </c:pt>
              </c:strCache>
            </c:strRef>
          </c:tx>
          <c:spPr>
            <a:ln w="28575" cap="rnd" cmpd="sng">
              <a:solidFill>
                <a:srgbClr val="FFC000"/>
              </a:solidFill>
              <a:prstDash val="sysDot"/>
              <a:round/>
            </a:ln>
            <a:effectLst/>
          </c:spPr>
          <c:marker>
            <c:symbol val="circle"/>
            <c:size val="8"/>
            <c:spPr>
              <a:solidFill>
                <a:srgbClr val="FFC000"/>
              </a:solidFill>
              <a:ln>
                <a:noFill/>
              </a:ln>
              <a:effectLst/>
            </c:spPr>
          </c:marker>
          <c:dLbls>
            <c:delete val="1"/>
          </c:dLbls>
          <c:cat>
            <c:numRef>
              <c:f>'[Simulation results_v5.xlsx]Sheet2'!$C$6:$C$38</c:f>
              <c:numCache>
                <c:formatCode>General</c:formatCode>
                <c:ptCount val="29"/>
                <c:pt idx="0">
                  <c:v>-16</c:v>
                </c:pt>
                <c:pt idx="1">
                  <c:v>-15</c:v>
                </c:pt>
                <c:pt idx="2">
                  <c:v>-14</c:v>
                </c:pt>
                <c:pt idx="3">
                  <c:v>-13</c:v>
                </c:pt>
                <c:pt idx="4">
                  <c:v>-12</c:v>
                </c:pt>
                <c:pt idx="5">
                  <c:v>-11</c:v>
                </c:pt>
                <c:pt idx="6">
                  <c:v>-10</c:v>
                </c:pt>
                <c:pt idx="7">
                  <c:v>-9</c:v>
                </c:pt>
                <c:pt idx="8">
                  <c:v>-8</c:v>
                </c:pt>
                <c:pt idx="9">
                  <c:v>-7</c:v>
                </c:pt>
                <c:pt idx="10">
                  <c:v>-6</c:v>
                </c:pt>
                <c:pt idx="11">
                  <c:v>-5</c:v>
                </c:pt>
                <c:pt idx="12">
                  <c:v>-4</c:v>
                </c:pt>
                <c:pt idx="13">
                  <c:v>-3</c:v>
                </c:pt>
                <c:pt idx="14">
                  <c:v>-2</c:v>
                </c:pt>
                <c:pt idx="15">
                  <c:v>-1</c:v>
                </c:pt>
                <c:pt idx="16">
                  <c:v>0</c:v>
                </c:pt>
                <c:pt idx="17">
                  <c:v>1</c:v>
                </c:pt>
                <c:pt idx="18">
                  <c:v>2</c:v>
                </c:pt>
                <c:pt idx="19">
                  <c:v>3</c:v>
                </c:pt>
                <c:pt idx="20">
                  <c:v>4</c:v>
                </c:pt>
                <c:pt idx="21">
                  <c:v>5</c:v>
                </c:pt>
                <c:pt idx="22">
                  <c:v>6</c:v>
                </c:pt>
                <c:pt idx="23">
                  <c:v>7</c:v>
                </c:pt>
                <c:pt idx="24">
                  <c:v>8</c:v>
                </c:pt>
                <c:pt idx="25">
                  <c:v>9</c:v>
                </c:pt>
                <c:pt idx="26">
                  <c:v>10</c:v>
                </c:pt>
                <c:pt idx="27">
                  <c:v>11</c:v>
                </c:pt>
                <c:pt idx="28">
                  <c:v>12</c:v>
                </c:pt>
              </c:numCache>
            </c:numRef>
          </c:cat>
          <c:val>
            <c:numRef>
              <c:f>Sheet2!$I$6:$I$38</c:f>
              <c:numCache>
                <c:formatCode>General</c:formatCode>
                <c:ptCount val="29"/>
                <c:pt idx="18">
                  <c:v>0.0615</c:v>
                </c:pt>
                <c:pt idx="20">
                  <c:v>0.0166</c:v>
                </c:pt>
                <c:pt idx="22">
                  <c:v>0.0051</c:v>
                </c:pt>
                <c:pt idx="24">
                  <c:v>0.000922</c:v>
                </c:pt>
                <c:pt idx="26">
                  <c:v>0.000106</c:v>
                </c:pt>
                <c:pt idx="28" c:formatCode="0.00E+00">
                  <c:v>1.1e-5</c:v>
                </c:pt>
              </c:numCache>
            </c:numRef>
          </c:val>
          <c:smooth val="0"/>
        </c:ser>
        <c:ser>
          <c:idx val="6"/>
          <c:order val="6"/>
          <c:tx>
            <c:strRef>
              <c:f>'[Simulation results_v5.xlsx]Sheet2'!$J$5</c:f>
              <c:strCache>
                <c:ptCount val="1"/>
                <c:pt idx="0">
                  <c:v>DCI based, AL=2 </c:v>
                </c:pt>
              </c:strCache>
            </c:strRef>
          </c:tx>
          <c:spPr>
            <a:ln w="28575" cap="rnd" cmpd="sng">
              <a:solidFill>
                <a:srgbClr val="C00000"/>
              </a:solidFill>
              <a:prstDash val="sysDot"/>
              <a:round/>
            </a:ln>
            <a:effectLst/>
          </c:spPr>
          <c:marker>
            <c:symbol val="circle"/>
            <c:size val="8"/>
            <c:spPr>
              <a:solidFill>
                <a:srgbClr val="C00000"/>
              </a:solidFill>
              <a:ln>
                <a:noFill/>
              </a:ln>
              <a:effectLst/>
            </c:spPr>
          </c:marker>
          <c:dLbls>
            <c:delete val="1"/>
          </c:dLbls>
          <c:cat>
            <c:numRef>
              <c:f>'[Simulation results_v5.xlsx]Sheet2'!$C$6:$C$38</c:f>
              <c:numCache>
                <c:formatCode>General</c:formatCode>
                <c:ptCount val="29"/>
                <c:pt idx="0">
                  <c:v>-16</c:v>
                </c:pt>
                <c:pt idx="1">
                  <c:v>-15</c:v>
                </c:pt>
                <c:pt idx="2">
                  <c:v>-14</c:v>
                </c:pt>
                <c:pt idx="3">
                  <c:v>-13</c:v>
                </c:pt>
                <c:pt idx="4">
                  <c:v>-12</c:v>
                </c:pt>
                <c:pt idx="5">
                  <c:v>-11</c:v>
                </c:pt>
                <c:pt idx="6">
                  <c:v>-10</c:v>
                </c:pt>
                <c:pt idx="7">
                  <c:v>-9</c:v>
                </c:pt>
                <c:pt idx="8">
                  <c:v>-8</c:v>
                </c:pt>
                <c:pt idx="9">
                  <c:v>-7</c:v>
                </c:pt>
                <c:pt idx="10">
                  <c:v>-6</c:v>
                </c:pt>
                <c:pt idx="11">
                  <c:v>-5</c:v>
                </c:pt>
                <c:pt idx="12">
                  <c:v>-4</c:v>
                </c:pt>
                <c:pt idx="13">
                  <c:v>-3</c:v>
                </c:pt>
                <c:pt idx="14">
                  <c:v>-2</c:v>
                </c:pt>
                <c:pt idx="15">
                  <c:v>-1</c:v>
                </c:pt>
                <c:pt idx="16">
                  <c:v>0</c:v>
                </c:pt>
                <c:pt idx="17">
                  <c:v>1</c:v>
                </c:pt>
                <c:pt idx="18">
                  <c:v>2</c:v>
                </c:pt>
                <c:pt idx="19">
                  <c:v>3</c:v>
                </c:pt>
                <c:pt idx="20">
                  <c:v>4</c:v>
                </c:pt>
                <c:pt idx="21">
                  <c:v>5</c:v>
                </c:pt>
                <c:pt idx="22">
                  <c:v>6</c:v>
                </c:pt>
                <c:pt idx="23">
                  <c:v>7</c:v>
                </c:pt>
                <c:pt idx="24">
                  <c:v>8</c:v>
                </c:pt>
                <c:pt idx="25">
                  <c:v>9</c:v>
                </c:pt>
                <c:pt idx="26">
                  <c:v>10</c:v>
                </c:pt>
                <c:pt idx="27">
                  <c:v>11</c:v>
                </c:pt>
                <c:pt idx="28">
                  <c:v>12</c:v>
                </c:pt>
              </c:numCache>
            </c:numRef>
          </c:cat>
          <c:val>
            <c:numRef>
              <c:f>Sheet2!$J$6:$J$38</c:f>
              <c:numCache>
                <c:formatCode>General</c:formatCode>
                <c:ptCount val="29"/>
                <c:pt idx="13">
                  <c:v>0.0728</c:v>
                </c:pt>
                <c:pt idx="15">
                  <c:v>0.016</c:v>
                </c:pt>
                <c:pt idx="17">
                  <c:v>0.0031</c:v>
                </c:pt>
                <c:pt idx="19">
                  <c:v>0.0003</c:v>
                </c:pt>
                <c:pt idx="21" c:formatCode="0.00E+00">
                  <c:v>1e-5</c:v>
                </c:pt>
              </c:numCache>
            </c:numRef>
          </c:val>
          <c:smooth val="0"/>
        </c:ser>
        <c:ser>
          <c:idx val="7"/>
          <c:order val="7"/>
          <c:tx>
            <c:strRef>
              <c:f>'[Simulation results_v5.xlsx]Sheet2'!$K$5</c:f>
              <c:strCache>
                <c:ptCount val="1"/>
                <c:pt idx="0">
                  <c:v>DCI based, AL=4</c:v>
                </c:pt>
              </c:strCache>
            </c:strRef>
          </c:tx>
          <c:spPr>
            <a:ln w="28575" cap="rnd" cmpd="sng">
              <a:solidFill>
                <a:schemeClr val="accent3"/>
              </a:solidFill>
              <a:prstDash val="sysDot"/>
              <a:round/>
            </a:ln>
            <a:effectLst/>
          </c:spPr>
          <c:marker>
            <c:symbol val="circle"/>
            <c:size val="8"/>
            <c:spPr>
              <a:solidFill>
                <a:schemeClr val="accent3"/>
              </a:solidFill>
              <a:ln>
                <a:noFill/>
              </a:ln>
              <a:effectLst/>
            </c:spPr>
          </c:marker>
          <c:dLbls>
            <c:delete val="1"/>
          </c:dLbls>
          <c:cat>
            <c:numRef>
              <c:f>'[Simulation results_v5.xlsx]Sheet2'!$C$6:$C$38</c:f>
              <c:numCache>
                <c:formatCode>General</c:formatCode>
                <c:ptCount val="29"/>
                <c:pt idx="0">
                  <c:v>-16</c:v>
                </c:pt>
                <c:pt idx="1">
                  <c:v>-15</c:v>
                </c:pt>
                <c:pt idx="2">
                  <c:v>-14</c:v>
                </c:pt>
                <c:pt idx="3">
                  <c:v>-13</c:v>
                </c:pt>
                <c:pt idx="4">
                  <c:v>-12</c:v>
                </c:pt>
                <c:pt idx="5">
                  <c:v>-11</c:v>
                </c:pt>
                <c:pt idx="6">
                  <c:v>-10</c:v>
                </c:pt>
                <c:pt idx="7">
                  <c:v>-9</c:v>
                </c:pt>
                <c:pt idx="8">
                  <c:v>-8</c:v>
                </c:pt>
                <c:pt idx="9">
                  <c:v>-7</c:v>
                </c:pt>
                <c:pt idx="10">
                  <c:v>-6</c:v>
                </c:pt>
                <c:pt idx="11">
                  <c:v>-5</c:v>
                </c:pt>
                <c:pt idx="12">
                  <c:v>-4</c:v>
                </c:pt>
                <c:pt idx="13">
                  <c:v>-3</c:v>
                </c:pt>
                <c:pt idx="14">
                  <c:v>-2</c:v>
                </c:pt>
                <c:pt idx="15">
                  <c:v>-1</c:v>
                </c:pt>
                <c:pt idx="16">
                  <c:v>0</c:v>
                </c:pt>
                <c:pt idx="17">
                  <c:v>1</c:v>
                </c:pt>
                <c:pt idx="18">
                  <c:v>2</c:v>
                </c:pt>
                <c:pt idx="19">
                  <c:v>3</c:v>
                </c:pt>
                <c:pt idx="20">
                  <c:v>4</c:v>
                </c:pt>
                <c:pt idx="21">
                  <c:v>5</c:v>
                </c:pt>
                <c:pt idx="22">
                  <c:v>6</c:v>
                </c:pt>
                <c:pt idx="23">
                  <c:v>7</c:v>
                </c:pt>
                <c:pt idx="24">
                  <c:v>8</c:v>
                </c:pt>
                <c:pt idx="25">
                  <c:v>9</c:v>
                </c:pt>
                <c:pt idx="26">
                  <c:v>10</c:v>
                </c:pt>
                <c:pt idx="27">
                  <c:v>11</c:v>
                </c:pt>
                <c:pt idx="28">
                  <c:v>12</c:v>
                </c:pt>
              </c:numCache>
            </c:numRef>
          </c:cat>
          <c:val>
            <c:numRef>
              <c:f>Sheet2!$K$6:$K$38</c:f>
              <c:numCache>
                <c:formatCode>General</c:formatCode>
                <c:ptCount val="29"/>
                <c:pt idx="10">
                  <c:v>0.0836</c:v>
                </c:pt>
                <c:pt idx="12">
                  <c:v>0.0142</c:v>
                </c:pt>
                <c:pt idx="14">
                  <c:v>0.00084</c:v>
                </c:pt>
                <c:pt idx="16">
                  <c:v>5.3e-5</c:v>
                </c:pt>
              </c:numCache>
            </c:numRef>
          </c:val>
          <c:smooth val="0"/>
        </c:ser>
        <c:ser>
          <c:idx val="8"/>
          <c:order val="8"/>
          <c:tx>
            <c:strRef>
              <c:f>'[Simulation results_v5.xlsx]Sheet2'!$L$5</c:f>
              <c:strCache>
                <c:ptCount val="1"/>
                <c:pt idx="0">
                  <c:v>DCI based, AL=8</c:v>
                </c:pt>
              </c:strCache>
            </c:strRef>
          </c:tx>
          <c:spPr>
            <a:ln w="28575" cap="rnd" cmpd="sng">
              <a:solidFill>
                <a:srgbClr val="7030A0"/>
              </a:solidFill>
              <a:prstDash val="sysDot"/>
              <a:round/>
            </a:ln>
            <a:effectLst/>
          </c:spPr>
          <c:marker>
            <c:symbol val="circle"/>
            <c:size val="8"/>
            <c:spPr>
              <a:solidFill>
                <a:schemeClr val="accent4"/>
              </a:solidFill>
              <a:ln>
                <a:noFill/>
              </a:ln>
              <a:effectLst/>
            </c:spPr>
          </c:marker>
          <c:dLbls>
            <c:delete val="1"/>
          </c:dLbls>
          <c:cat>
            <c:numRef>
              <c:f>'[Simulation results_v5.xlsx]Sheet2'!$C$6:$C$38</c:f>
              <c:numCache>
                <c:formatCode>General</c:formatCode>
                <c:ptCount val="29"/>
                <c:pt idx="0">
                  <c:v>-16</c:v>
                </c:pt>
                <c:pt idx="1">
                  <c:v>-15</c:v>
                </c:pt>
                <c:pt idx="2">
                  <c:v>-14</c:v>
                </c:pt>
                <c:pt idx="3">
                  <c:v>-13</c:v>
                </c:pt>
                <c:pt idx="4">
                  <c:v>-12</c:v>
                </c:pt>
                <c:pt idx="5">
                  <c:v>-11</c:v>
                </c:pt>
                <c:pt idx="6">
                  <c:v>-10</c:v>
                </c:pt>
                <c:pt idx="7">
                  <c:v>-9</c:v>
                </c:pt>
                <c:pt idx="8">
                  <c:v>-8</c:v>
                </c:pt>
                <c:pt idx="9">
                  <c:v>-7</c:v>
                </c:pt>
                <c:pt idx="10">
                  <c:v>-6</c:v>
                </c:pt>
                <c:pt idx="11">
                  <c:v>-5</c:v>
                </c:pt>
                <c:pt idx="12">
                  <c:v>-4</c:v>
                </c:pt>
                <c:pt idx="13">
                  <c:v>-3</c:v>
                </c:pt>
                <c:pt idx="14">
                  <c:v>-2</c:v>
                </c:pt>
                <c:pt idx="15">
                  <c:v>-1</c:v>
                </c:pt>
                <c:pt idx="16">
                  <c:v>0</c:v>
                </c:pt>
                <c:pt idx="17">
                  <c:v>1</c:v>
                </c:pt>
                <c:pt idx="18">
                  <c:v>2</c:v>
                </c:pt>
                <c:pt idx="19">
                  <c:v>3</c:v>
                </c:pt>
                <c:pt idx="20">
                  <c:v>4</c:v>
                </c:pt>
                <c:pt idx="21">
                  <c:v>5</c:v>
                </c:pt>
                <c:pt idx="22">
                  <c:v>6</c:v>
                </c:pt>
                <c:pt idx="23">
                  <c:v>7</c:v>
                </c:pt>
                <c:pt idx="24">
                  <c:v>8</c:v>
                </c:pt>
                <c:pt idx="25">
                  <c:v>9</c:v>
                </c:pt>
                <c:pt idx="26">
                  <c:v>10</c:v>
                </c:pt>
                <c:pt idx="27">
                  <c:v>11</c:v>
                </c:pt>
                <c:pt idx="28">
                  <c:v>12</c:v>
                </c:pt>
              </c:numCache>
            </c:numRef>
          </c:cat>
          <c:val>
            <c:numRef>
              <c:f>Sheet2!$L$6:$L$37</c:f>
              <c:numCache>
                <c:formatCode>General</c:formatCode>
                <c:ptCount val="28"/>
                <c:pt idx="5">
                  <c:v>0.2886</c:v>
                </c:pt>
                <c:pt idx="7">
                  <c:v>0.0947</c:v>
                </c:pt>
                <c:pt idx="9">
                  <c:v>0.0111</c:v>
                </c:pt>
                <c:pt idx="11">
                  <c:v>0.000394</c:v>
                </c:pt>
              </c:numCache>
            </c:numRef>
          </c:val>
          <c:smooth val="0"/>
        </c:ser>
        <c:ser>
          <c:idx val="9"/>
          <c:order val="9"/>
          <c:tx>
            <c:strRef>
              <c:f>'[Simulation results_v5.xlsx]Sheet2'!$M$5</c:f>
              <c:strCache>
                <c:ptCount val="1"/>
                <c:pt idx="0">
                  <c:v>DCI based, AL=16</c:v>
                </c:pt>
              </c:strCache>
            </c:strRef>
          </c:tx>
          <c:spPr>
            <a:ln w="28575" cap="rnd" cmpd="sng">
              <a:solidFill>
                <a:srgbClr val="0070C0"/>
              </a:solidFill>
              <a:prstDash val="sysDot"/>
              <a:round/>
            </a:ln>
            <a:effectLst/>
          </c:spPr>
          <c:marker>
            <c:symbol val="circle"/>
            <c:size val="8"/>
            <c:spPr>
              <a:solidFill>
                <a:srgbClr val="0070C0"/>
              </a:solidFill>
              <a:ln>
                <a:noFill/>
              </a:ln>
              <a:effectLst/>
            </c:spPr>
          </c:marker>
          <c:dLbls>
            <c:delete val="1"/>
          </c:dLbls>
          <c:cat>
            <c:numRef>
              <c:f>'[Simulation results_v5.xlsx]Sheet2'!$C$6:$C$38</c:f>
              <c:numCache>
                <c:formatCode>General</c:formatCode>
                <c:ptCount val="29"/>
                <c:pt idx="0">
                  <c:v>-16</c:v>
                </c:pt>
                <c:pt idx="1">
                  <c:v>-15</c:v>
                </c:pt>
                <c:pt idx="2">
                  <c:v>-14</c:v>
                </c:pt>
                <c:pt idx="3">
                  <c:v>-13</c:v>
                </c:pt>
                <c:pt idx="4">
                  <c:v>-12</c:v>
                </c:pt>
                <c:pt idx="5">
                  <c:v>-11</c:v>
                </c:pt>
                <c:pt idx="6">
                  <c:v>-10</c:v>
                </c:pt>
                <c:pt idx="7">
                  <c:v>-9</c:v>
                </c:pt>
                <c:pt idx="8">
                  <c:v>-8</c:v>
                </c:pt>
                <c:pt idx="9">
                  <c:v>-7</c:v>
                </c:pt>
                <c:pt idx="10">
                  <c:v>-6</c:v>
                </c:pt>
                <c:pt idx="11">
                  <c:v>-5</c:v>
                </c:pt>
                <c:pt idx="12">
                  <c:v>-4</c:v>
                </c:pt>
                <c:pt idx="13">
                  <c:v>-3</c:v>
                </c:pt>
                <c:pt idx="14">
                  <c:v>-2</c:v>
                </c:pt>
                <c:pt idx="15">
                  <c:v>-1</c:v>
                </c:pt>
                <c:pt idx="16">
                  <c:v>0</c:v>
                </c:pt>
                <c:pt idx="17">
                  <c:v>1</c:v>
                </c:pt>
                <c:pt idx="18">
                  <c:v>2</c:v>
                </c:pt>
                <c:pt idx="19">
                  <c:v>3</c:v>
                </c:pt>
                <c:pt idx="20">
                  <c:v>4</c:v>
                </c:pt>
                <c:pt idx="21">
                  <c:v>5</c:v>
                </c:pt>
                <c:pt idx="22">
                  <c:v>6</c:v>
                </c:pt>
                <c:pt idx="23">
                  <c:v>7</c:v>
                </c:pt>
                <c:pt idx="24">
                  <c:v>8</c:v>
                </c:pt>
                <c:pt idx="25">
                  <c:v>9</c:v>
                </c:pt>
                <c:pt idx="26">
                  <c:v>10</c:v>
                </c:pt>
                <c:pt idx="27">
                  <c:v>11</c:v>
                </c:pt>
                <c:pt idx="28">
                  <c:v>12</c:v>
                </c:pt>
              </c:numCache>
            </c:numRef>
          </c:cat>
          <c:val>
            <c:numRef>
              <c:f>Sheet2!$M$6:$M$31</c:f>
              <c:numCache>
                <c:formatCode>General</c:formatCode>
                <c:ptCount val="22"/>
                <c:pt idx="4">
                  <c:v>0.1289</c:v>
                </c:pt>
                <c:pt idx="6">
                  <c:v>0.0188</c:v>
                </c:pt>
                <c:pt idx="8">
                  <c:v>0.000534</c:v>
                </c:pt>
                <c:pt idx="11" c:formatCode="0.00E+00">
                  <c:v>6e-6</c:v>
                </c:pt>
              </c:numCache>
            </c:numRef>
          </c:val>
          <c:smooth val="0"/>
        </c:ser>
        <c:dLbls>
          <c:showLegendKey val="0"/>
          <c:showVal val="0"/>
          <c:showCatName val="0"/>
          <c:showSerName val="0"/>
          <c:showPercent val="0"/>
          <c:showBubbleSize val="0"/>
        </c:dLbls>
        <c:marker val="1"/>
        <c:smooth val="0"/>
        <c:axId val="841952608"/>
        <c:axId val="841952048"/>
      </c:lineChart>
      <c:catAx>
        <c:axId val="841952608"/>
        <c:scaling>
          <c:orientation val="minMax"/>
        </c:scaling>
        <c:delete val="0"/>
        <c:axPos val="t"/>
        <c:majorGridlines>
          <c:spPr>
            <a:ln w="9525" cap="flat" cmpd="sng" algn="ctr">
              <a:solidFill>
                <a:schemeClr val="tx1">
                  <a:lumMod val="15000"/>
                  <a:lumOff val="85000"/>
                </a:schemeClr>
              </a:solidFill>
              <a:round/>
            </a:ln>
            <a:effectLst/>
          </c:spPr>
        </c:majorGridlines>
        <c:numFmt formatCode="General" sourceLinked="0"/>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cap="none" spc="0" normalizeH="0" baseline="0">
                <a:solidFill>
                  <a:schemeClr val="tx1">
                    <a:lumMod val="65000"/>
                    <a:lumOff val="35000"/>
                  </a:schemeClr>
                </a:solidFill>
                <a:latin typeface="+mn-lt"/>
                <a:ea typeface="+mn-ea"/>
                <a:cs typeface="+mn-cs"/>
              </a:defRPr>
            </a:pPr>
          </a:p>
        </c:txPr>
        <c:crossAx val="841952048"/>
        <c:crosses val="max"/>
        <c:auto val="1"/>
        <c:lblAlgn val="ctr"/>
        <c:lblOffset val="100"/>
        <c:noMultiLvlLbl val="0"/>
      </c:catAx>
      <c:valAx>
        <c:axId val="841952048"/>
        <c:scaling>
          <c:logBase val="10"/>
          <c:orientation val="minMax"/>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5400000" spcFirstLastPara="0" vertOverflow="ellipsis" vert="horz" wrap="square" anchor="ctr" anchorCtr="1"/>
              <a:lstStyle/>
              <a:p>
                <a:pPr defTabSz="914400">
                  <a:defRPr lang="zh-CN" sz="1200" b="1" i="0" u="none" strike="noStrike" kern="1200" cap="all" baseline="0">
                    <a:solidFill>
                      <a:schemeClr val="tx1">
                        <a:lumMod val="65000"/>
                        <a:lumOff val="35000"/>
                      </a:schemeClr>
                    </a:solidFill>
                    <a:latin typeface="+mn-lt"/>
                    <a:ea typeface="+mn-ea"/>
                    <a:cs typeface="+mn-cs"/>
                  </a:defRPr>
                </a:pPr>
                <a:r>
                  <a:rPr lang="en-US" altLang="zh-CN" sz="1200" b="1"/>
                  <a:t>BER</a:t>
                </a:r>
                <a:endParaRPr lang="en-US" altLang="zh-CN" sz="1200" b="1"/>
              </a:p>
            </c:rich>
          </c:tx>
          <c:layout/>
          <c:overlay val="0"/>
          <c:spPr>
            <a:noFill/>
            <a:ln>
              <a:noFill/>
            </a:ln>
            <a:effectLst/>
          </c:spPr>
        </c:title>
        <c:numFmt formatCode="0.00E+00" sourceLinked="0"/>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841952608"/>
        <c:crosses val="autoZero"/>
        <c:crossBetween val="midCat"/>
      </c:valAx>
      <c:spPr>
        <a:noFill/>
        <a:ln>
          <a:noFill/>
        </a:ln>
        <a:effectLst/>
      </c:spPr>
    </c:plotArea>
    <c:legend>
      <c:legendPos val="r"/>
      <c:layout>
        <c:manualLayout>
          <c:xMode val="edge"/>
          <c:yMode val="edge"/>
          <c:x val="0.799143927233815"/>
          <c:y val="0.151930261519303"/>
          <c:w val="0.179775280898876"/>
          <c:h val="0.682796655399395"/>
        </c:manualLayout>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span"/>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userShapes r:id="rId2"/>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35">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b="0" kern="1200" cap="none" spc="0" normalizeH="0" baseline="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75000"/>
        <a:lumOff val="25000"/>
      </a:schemeClr>
    </cs:fontRef>
    <cs:spPr>
      <a:solidFill>
        <a:schemeClr val="dk1">
          <a:lumMod val="15000"/>
          <a:lumOff val="85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38100" cap="rnd">
        <a:solidFill>
          <a:schemeClr val="phClr"/>
        </a:solidFill>
        <a:round/>
      </a:ln>
    </cs:spPr>
  </cs:dataPointLine>
  <cs:dataPointMarker>
    <cs:lnRef idx="0"/>
    <cs:fillRef idx="0">
      <cs:styleClr val="auto"/>
    </cs:fillRef>
    <cs:effectRef idx="0"/>
    <cs:fontRef idx="minor">
      <a:schemeClr val="dk1"/>
    </cs:fontRef>
    <cs:spPr>
      <a:solidFill>
        <a:schemeClr val="phClr"/>
      </a:solidFill>
    </cs:spPr>
  </cs:dataPointMarker>
  <cs:dataPointMarkerLayout symbol="circle" size="8"/>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50000"/>
            <a:lumOff val="50000"/>
          </a:schemeClr>
        </a:solidFill>
      </a:ln>
    </cs:spPr>
  </cs:downBar>
  <cs:dropLine>
    <cs:lnRef idx="0"/>
    <cs:fillRef idx="0"/>
    <cs:effectRef idx="0"/>
    <cs:fontRef idx="minor">
      <a:schemeClr val="dk1"/>
    </cs:fontRef>
    <cs:spPr>
      <a:ln w="9525">
        <a:solidFill>
          <a:schemeClr val="tx1">
            <a:lumMod val="50000"/>
            <a:lumOff val="50000"/>
          </a:schemeClr>
        </a:solidFill>
        <a:prstDash val="dash"/>
      </a:ln>
    </cs:spPr>
  </cs:dropLine>
  <cs:errorBar>
    <cs:lnRef idx="0"/>
    <cs:fillRef idx="0"/>
    <cs:effectRef idx="0"/>
    <cs:fontRef idx="minor">
      <a:schemeClr val="dk1"/>
    </cs:fontRef>
    <cs:spPr>
      <a:ln w="9525">
        <a:solidFill>
          <a:schemeClr val="tx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w="9525" cap="flat" cmpd="sng" algn="ctr">
        <a:solidFill>
          <a:schemeClr val="tx1">
            <a:lumMod val="5000"/>
            <a:lumOff val="95000"/>
          </a:schemeClr>
        </a:solidFill>
        <a:round/>
      </a:ln>
    </cs:spPr>
  </cs:gridlineMinor>
  <cs:hiLoLine>
    <cs:lnRef idx="0"/>
    <cs:fillRef idx="0"/>
    <cs:effectRef idx="0"/>
    <cs:fontRef idx="minor">
      <a:schemeClr val="dk1"/>
    </cs:fontRef>
    <cs:spPr>
      <a:ln w="9525">
        <a:solidFill>
          <a:schemeClr val="tx1">
            <a:lumMod val="50000"/>
            <a:lumOff val="50000"/>
          </a:schemeClr>
        </a:solidFill>
        <a:prstDash val="dash"/>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ajor">
      <a:schemeClr val="tx1">
        <a:lumMod val="65000"/>
        <a:lumOff val="35000"/>
      </a:schemeClr>
    </cs:fontRef>
    <cs:defRPr sz="2000" b="0" kern="1200" cap="none" spc="0" normalizeH="0" baseline="0"/>
  </cs:title>
  <cs:trendline>
    <cs:lnRef idx="0">
      <cs:styleClr val="auto"/>
    </cs:lnRef>
    <cs:fillRef idx="0"/>
    <cs:effectRef idx="0"/>
    <cs:fontRef idx="minor">
      <a:schemeClr val="dk1"/>
    </cs:fontRef>
    <cs:spPr>
      <a:ln w="19050" cap="rnd">
        <a:solidFill>
          <a:schemeClr val="phClr"/>
        </a:solidFill>
        <a:round/>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50000"/>
            <a:lumOff val="50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drawings/drawing1.xml><?xml version="1.0" encoding="utf-8"?>
<c:userShapes xmlns:c="http://schemas.openxmlformats.org/drawingml/2006/chart">
  <cdr:relSizeAnchor xmlns:cdr="http://schemas.openxmlformats.org/drawingml/2006/chartDrawing">
    <cdr:from>
      <cdr:x>0.81284</cdr:x>
      <cdr:y>0.90193</cdr:y>
    </cdr:from>
    <cdr:to>
      <cdr:x>0.94368</cdr:x>
      <cdr:y>0.95908</cdr:y>
    </cdr:to>
    <cdr:sp>
      <cdr:nvSpPr>
        <cdr:cNvPr id="2" name="矩形 1"/>
        <cdr:cNvSpPr/>
      </cdr:nvSpPr>
      <cdr:spPr xmlns:a="http://schemas.openxmlformats.org/drawingml/2006/main">
        <a:xfrm xmlns:a="http://schemas.openxmlformats.org/drawingml/2006/main">
          <a:off x="5184778" y="3307502"/>
          <a:ext cx="834580" cy="209550"/>
        </a:xfrm>
        <a:prstGeom xmlns:a="http://schemas.openxmlformats.org/drawingml/2006/main" prst="rect">
          <a:avLst/>
        </a:prstGeom>
      </cdr:spPr>
      <cdr:txBody xmlns:a="http://schemas.openxmlformats.org/drawingml/2006/main">
        <a:bodyPr vertOverflow="clip" horzOverflow="clip" vert="horz" wrap="square" lIns="45720" tIns="45720" rIns="45720" bIns="45720" rtlCol="0" anchor="t" anchorCtr="0">
          <a:normAutofit/>
        </a:bodyPr>
        <a:lstStyle>
          <a:defPPr>
            <a:defRPr lang="zh-CN"/>
          </a:defPPr>
          <a:lvl1pPr marL="0" algn="l" defTabSz="914400" rtl="0" eaLnBrk="1" latinLnBrk="0" hangingPunct="1">
            <a:defRPr sz="1100">
              <a:latin typeface="+mn-lt"/>
              <a:ea typeface="+mn-ea"/>
              <a:cs typeface="+mn-cs"/>
            </a:defRPr>
          </a:lvl1pPr>
          <a:lvl2pPr marL="457200" algn="l" defTabSz="914400" rtl="0" eaLnBrk="1" latinLnBrk="0" hangingPunct="1">
            <a:defRPr sz="1100">
              <a:latin typeface="+mn-lt"/>
              <a:ea typeface="+mn-ea"/>
              <a:cs typeface="+mn-cs"/>
            </a:defRPr>
          </a:lvl2pPr>
          <a:lvl3pPr marL="914400" algn="l" defTabSz="914400" rtl="0" eaLnBrk="1" latinLnBrk="0" hangingPunct="1">
            <a:defRPr sz="1100">
              <a:latin typeface="+mn-lt"/>
              <a:ea typeface="+mn-ea"/>
              <a:cs typeface="+mn-cs"/>
            </a:defRPr>
          </a:lvl3pPr>
          <a:lvl4pPr marL="1371600" algn="l" defTabSz="914400" rtl="0" eaLnBrk="1" latinLnBrk="0" hangingPunct="1">
            <a:defRPr sz="1100">
              <a:latin typeface="+mn-lt"/>
              <a:ea typeface="+mn-ea"/>
              <a:cs typeface="+mn-cs"/>
            </a:defRPr>
          </a:lvl4pPr>
          <a:lvl5pPr marL="1828800" algn="l" defTabSz="914400" rtl="0" eaLnBrk="1" latinLnBrk="0" hangingPunct="1">
            <a:defRPr sz="1100">
              <a:latin typeface="+mn-lt"/>
              <a:ea typeface="+mn-ea"/>
              <a:cs typeface="+mn-cs"/>
            </a:defRPr>
          </a:lvl5pPr>
          <a:lvl6pPr marL="2286000" algn="l" defTabSz="914400" rtl="0" eaLnBrk="1" latinLnBrk="0" hangingPunct="1">
            <a:defRPr sz="1100">
              <a:latin typeface="+mn-lt"/>
              <a:ea typeface="+mn-ea"/>
              <a:cs typeface="+mn-cs"/>
            </a:defRPr>
          </a:lvl6pPr>
          <a:lvl7pPr marL="2743200" algn="l" defTabSz="914400" rtl="0" eaLnBrk="1" latinLnBrk="0" hangingPunct="1">
            <a:defRPr sz="1100">
              <a:latin typeface="+mn-lt"/>
              <a:ea typeface="+mn-ea"/>
              <a:cs typeface="+mn-cs"/>
            </a:defRPr>
          </a:lvl7pPr>
          <a:lvl8pPr marL="3200400" algn="l" defTabSz="914400" rtl="0" eaLnBrk="1" latinLnBrk="0" hangingPunct="1">
            <a:defRPr sz="1100">
              <a:latin typeface="+mn-lt"/>
              <a:ea typeface="+mn-ea"/>
              <a:cs typeface="+mn-cs"/>
            </a:defRPr>
          </a:lvl8pPr>
          <a:lvl9pPr marL="3657600" algn="l" defTabSz="914400" rtl="0" eaLnBrk="1" latinLnBrk="0" hangingPunct="1">
            <a:defRPr sz="1100">
              <a:latin typeface="+mn-lt"/>
              <a:ea typeface="+mn-ea"/>
              <a:cs typeface="+mn-cs"/>
            </a:defRPr>
          </a:lvl9pPr>
        </a:lstStyle>
        <a:p>
          <a:r>
            <a:rPr lang="en-US" altLang="zh-CN"/>
            <a:t>SNR[dB]</a:t>
          </a:r>
          <a:endParaRPr lang="en-US" altLang="zh-CN"/>
        </a:p>
      </cdr:txBody>
    </cdr:sp>
  </cdr:relSizeAnchor>
</c:userShap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C5AAA3B-EC30-4A32-A43B-0E44856196CC}">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10</Pages>
  <Words>4086</Words>
  <Characters>23296</Characters>
  <Lines>194</Lines>
  <Paragraphs>54</Paragraphs>
  <TotalTime>7</TotalTime>
  <ScaleCrop>false</ScaleCrop>
  <LinksUpToDate>false</LinksUpToDate>
  <CharactersWithSpaces>27328</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2018-08-06T12:19:00Z</dcterms:created>
  <dc:creator>ZTE</dc:creator>
  <cp:lastModifiedBy>ZTE</cp:lastModifiedBy>
  <cp:lastPrinted>2011-10-28T07:16:00Z</cp:lastPrinted>
  <dcterms:modified xsi:type="dcterms:W3CDTF">2019-02-15T07:39:55Z</dcterms:modified>
  <cp:revision>167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2052-10.8.2.7027</vt:lpwstr>
  </property>
</Properties>
</file>